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outlineLvl w:val="9"/>
        <w:rPr>
          <w:rFonts w:ascii="方正小标宋_GBK" w:eastAsia="方正小标宋_GBK" w:cs="方正小标宋_GBK" w:hint="eastAsia"/>
          <w:caps w:val="0"/>
          <w:smallCaps w:val="0"/>
          <w:color w:val="auto"/>
          <w:kern w:val="2"/>
          <w:sz w:val="44"/>
          <w:szCs w:val="44"/>
          <w:vertAlign w:val="baseline"/>
        </w:rPr>
      </w:pPr>
      <w:bookmarkStart w:id="0" w:name="_GoBack"/>
      <w:bookmarkEnd w:id="0"/>
      <w:r>
        <w:rPr>
          <w:rFonts w:ascii="方正小标宋_GBK" w:eastAsia="方正小标宋_GBK" w:cs="方正小标宋_GBK"/>
          <w:b w:val="0"/>
          <w:bCs w:val="0"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 w:bidi="ar-SA"/>
        </w:rPr>
        <w:t>攀枝花市生态环境局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outlineLvl w:val="9"/>
        <w:rPr>
          <w:rFonts w:ascii="方正小标宋_GBK" w:eastAsia="方正小标宋_GBK" w:cs="方正小标宋_GBK" w:hint="eastAsia"/>
          <w:caps w:val="0"/>
          <w:smallCaps w:val="0"/>
          <w:color w:val="auto"/>
          <w:kern w:val="2"/>
          <w:sz w:val="44"/>
          <w:szCs w:val="44"/>
          <w:vertAlign w:val="baseline"/>
        </w:rPr>
      </w:pPr>
      <w:r>
        <w:rPr>
          <w:rFonts w:ascii="方正小标宋_GBK" w:eastAsia="方正小标宋_GBK" w:cs="方正小标宋_GBK" w:hint="eastAsia"/>
          <w:b w:val="0"/>
          <w:bCs w:val="0"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 w:bidi="ar-SA"/>
        </w:rPr>
        <w:t>关于攀枝花市仁和区太平乡摩梭河重点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outlineLvl w:val="9"/>
        <w:rPr>
          <w:rFonts w:ascii="方正小标宋_GBK" w:eastAsia="方正小标宋_GBK" w:cs="方正小标宋_GBK" w:hint="eastAsia"/>
          <w:caps w:val="0"/>
          <w:smallCaps w:val="0"/>
          <w:color w:val="auto"/>
          <w:kern w:val="2"/>
          <w:sz w:val="44"/>
          <w:szCs w:val="44"/>
          <w:vertAlign w:val="baseline"/>
        </w:rPr>
      </w:pPr>
      <w:r>
        <w:rPr>
          <w:rFonts w:ascii="方正小标宋_GBK" w:eastAsia="方正小标宋_GBK" w:cs="方正小标宋_GBK" w:hint="eastAsia"/>
          <w:b w:val="0"/>
          <w:bCs w:val="0"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 w:bidi="ar-SA"/>
        </w:rPr>
        <w:t>山洪沟治理项目环境影响报告表的批复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outlineLvl w:val="9"/>
        <w:rPr>
          <w:rFonts w:ascii="Times New Roman" w:eastAsia="仿宋_GB2312" w:cs="Times New Roman" w:hAnsi="Times New Roman"/>
          <w:caps w:val="0"/>
          <w:smallCaps w:val="0"/>
          <w:color w:val="auto"/>
          <w:kern w:val="2"/>
          <w:sz w:val="32"/>
          <w:szCs w:val="32"/>
          <w:vertAlign w:val="baseline"/>
        </w:rPr>
      </w:pPr>
    </w:p>
    <w:p>
      <w:pPr>
        <w:autoSpaceDN w:val="0"/>
        <w:spacing w:line="560" w:lineRule="exact"/>
        <w:jc w:val="both"/>
        <w:rPr>
          <w:rFonts w:ascii="Times New Roman" w:eastAsia="仿宋_GB2312" w:cs="Times New Roman" w:hAnsi="Times New Roman" w:hint="eastAsia"/>
          <w:caps w:val="0"/>
          <w:smallCaps w:val="0"/>
          <w:color w:val="auto"/>
          <w:kern w:val="2"/>
          <w:sz w:val="32"/>
          <w:szCs w:val="32"/>
          <w:vertAlign w:val="baseline"/>
          <w:lang w:bidi="ar-SA"/>
        </w:rPr>
      </w:pP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攀枝花市仁和区太平乡农业农村服务中心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：</w:t>
      </w:r>
    </w:p>
    <w:p>
      <w:pPr>
        <w:autoSpaceDN w:val="0"/>
        <w:spacing w:line="560" w:lineRule="exact"/>
        <w:ind w:firstLine="640"/>
        <w:jc w:val="both"/>
        <w:rPr>
          <w:rFonts w:ascii="Times New Roman" w:eastAsia="仿宋_GB2312" w:cs="Times New Roman" w:hAnsi="Times New Roman" w:hint="eastAsia"/>
          <w:caps w:val="0"/>
          <w:smallCaps w:val="0"/>
          <w:color w:val="auto"/>
          <w:kern w:val="2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你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中心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《攀枝花市仁和区太平乡摩梭河重点山洪沟治理项目环境影响报告表》（以下简称“报告表”）收悉，经研究，批复如下。</w:t>
      </w:r>
    </w:p>
    <w:p>
      <w:pPr>
        <w:autoSpaceDN w:val="0"/>
        <w:spacing w:line="560" w:lineRule="exact"/>
        <w:ind w:firstLine="640"/>
        <w:jc w:val="both"/>
        <w:rPr>
          <w:rFonts w:ascii="Times New Roman" w:eastAsia="仿宋_GB2312" w:cs="Times New Roman" w:hAnsi="Times New Roman" w:hint="eastAsia"/>
          <w:caps w:val="0"/>
          <w:smallCaps w:val="0"/>
          <w:color w:val="auto"/>
          <w:kern w:val="2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一、项目位于攀枝花市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仁和区太平乡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，起于红平机耕桥，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止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于红岩大沙田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，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综合治理长度</w:t>
      </w:r>
      <w:r>
        <w:rPr>
          <w:rFonts w:ascii="Times New Roman" w:eastAsia="仿宋_GB2312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3.00km</w:t>
      </w:r>
      <w:r>
        <w:rPr>
          <w:rFonts w:ascii="仿宋_GB2312" w:eastAsia="仿宋_GB2312" w:cs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，主要建设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内容包括：新建堤防工程总长</w:t>
      </w:r>
      <w:r>
        <w:rPr>
          <w:rFonts w:ascii="Times New Roman" w:eastAsia="仿宋_GB2312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1432.72m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，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其中左岸新建堤防</w:t>
      </w:r>
      <w:r>
        <w:rPr>
          <w:rFonts w:ascii="Times New Roman" w:eastAsia="仿宋_GB2312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745.93m</w:t>
      </w:r>
      <w:r>
        <w:rPr>
          <w:rFonts w:ascii="仿宋_GB2312" w:eastAsia="仿宋_GB2312" w:cs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，右岸新建堤防</w:t>
      </w:r>
      <w:r>
        <w:rPr>
          <w:rFonts w:ascii="Times New Roman" w:eastAsia="仿宋_GB2312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686.79m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；对综合治理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河道内的孤石、卵石、淤泥等进行疏浚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；配套建设辅助工程、公用工程及环保工程等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。项目总投资</w:t>
      </w:r>
      <w:r>
        <w:rPr>
          <w:rFonts w:ascii="Times New Roman" w:eastAsia="仿宋_GB2312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1291.69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万元，其中环保投资</w:t>
      </w:r>
      <w:r>
        <w:rPr>
          <w:rFonts w:ascii="Times New Roman" w:eastAsia="仿宋_GB2312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80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万元。</w:t>
      </w:r>
    </w:p>
    <w:p>
      <w:pPr>
        <w:autoSpaceDN w:val="0"/>
        <w:spacing w:line="560" w:lineRule="exact"/>
        <w:ind w:firstLine="640"/>
        <w:jc w:val="both"/>
        <w:rPr>
          <w:rFonts w:ascii="Times New Roman" w:eastAsia="仿宋_GB2312" w:cs="Times New Roman" w:hAnsi="Times New Roman" w:hint="eastAsia"/>
          <w:caps w:val="0"/>
          <w:smallCaps w:val="0"/>
          <w:color w:val="auto"/>
          <w:kern w:val="2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二、四川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中资工程技术服务有限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公司受你单位委托对该项目开展环境影响评价，编制项目环境影响报告表。“报告表”认为项目符合国家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现行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产业政策，选址符合当地规划要求，在严格落实“报告表”提出的环保对策及措施，严格执行“三同时”制度，确保项目污染物达标排放，认真落实环境风险防范措施的前提下，该项目的建设从生态环境角度可行，我局原则同意“报告表”的环境影响评价总体结论和拟采取的各项生态环境保护措施。你单位应严格按照“报告表”中所列项目的建设性质、规模、工艺、地点和拟采取的环境保护措施进行建设和运行，以确保对环境的不利影响能够得到缓解和控制。</w:t>
      </w:r>
    </w:p>
    <w:p>
      <w:pPr>
        <w:autoSpaceDN w:val="0"/>
        <w:spacing w:line="560" w:lineRule="exact"/>
        <w:ind w:firstLine="640"/>
        <w:jc w:val="both"/>
        <w:rPr>
          <w:rFonts w:ascii="Times New Roman" w:eastAsia="仿宋_GB2312" w:cs="Times New Roman" w:hAnsi="Times New Roman" w:hint="eastAsia"/>
          <w:caps w:val="0"/>
          <w:smallCaps w:val="0"/>
          <w:color w:val="auto"/>
          <w:kern w:val="2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三、项目建设应做好以下工作：</w:t>
      </w:r>
    </w:p>
    <w:p>
      <w:pPr>
        <w:autoSpaceDN w:val="0"/>
        <w:spacing w:line="560" w:lineRule="exact"/>
        <w:ind w:firstLine="640"/>
        <w:jc w:val="both"/>
        <w:rPr>
          <w:rFonts w:ascii="Times New Roman" w:eastAsia="仿宋_GB2312" w:cs="Times New Roman" w:hAnsi="Times New Roman"/>
          <w:caps w:val="0"/>
          <w:smallCaps w:val="0"/>
          <w:color w:val="auto"/>
          <w:kern w:val="2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（一）严格落实施工期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生态保护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措施。强化施工期环境管理，结合周围敏感点分布，合理安排施工时间，优化施工场地布设，采取有效措施降低施工期扬尘、噪声、废水等对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周边植物、野生动物及水生生态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的影响。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及时对施工迹地进行恢复，减小施工过程中的水土流失，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0"/>
          <w:sz w:val="32"/>
          <w:szCs w:val="32"/>
          <w:vertAlign w:val="baseline"/>
          <w:lang w:val="en-US" w:eastAsia="zh-CN" w:bidi="ar-SA"/>
        </w:rPr>
        <w:t>加强生态恢复过程中的管理和维护，保证植被恢复的成活率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0"/>
          <w:sz w:val="32"/>
          <w:szCs w:val="32"/>
          <w:vertAlign w:val="baseline"/>
          <w:lang w:val="en-US" w:eastAsia="zh-CN" w:bidi="ar-SA"/>
        </w:rPr>
        <w:t>，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0"/>
          <w:sz w:val="32"/>
          <w:szCs w:val="32"/>
          <w:vertAlign w:val="baseline"/>
          <w:lang w:val="en-US" w:eastAsia="zh-CN" w:bidi="ar-SA"/>
        </w:rPr>
        <w:t>植被恢复应采用当地适生物种，确保生物安全。</w:t>
      </w:r>
    </w:p>
    <w:p>
      <w:pPr>
        <w:autoSpaceDN w:val="0"/>
        <w:spacing w:line="560" w:lineRule="exact"/>
        <w:ind w:firstLine="640"/>
        <w:jc w:val="both"/>
        <w:rPr>
          <w:rFonts w:ascii="Times New Roman" w:eastAsia="仿宋_GB2312" w:cs="Times New Roman" w:hAnsi="Times New Roman"/>
          <w:caps w:val="0"/>
          <w:smallCaps w:val="0"/>
          <w:color w:val="auto"/>
          <w:kern w:val="2"/>
          <w:sz w:val="32"/>
          <w:szCs w:val="32"/>
          <w:vertAlign w:val="baseline"/>
        </w:rPr>
      </w:pP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（二）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0"/>
          <w:sz w:val="32"/>
          <w:szCs w:val="32"/>
          <w:vertAlign w:val="baseline"/>
          <w:lang w:val="en-US" w:eastAsia="zh-CN" w:bidi="ar-SA"/>
        </w:rPr>
        <w:t>严格落实施工期各项大气污染防治措施。加强施工管理，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严格按照“六必须”“六不准”有关要求，做好项目扬尘污染防治工作。落实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1C1B10"/>
          <w:kern w:val="2"/>
          <w:sz w:val="32"/>
          <w:szCs w:val="32"/>
          <w:vertAlign w:val="baseline"/>
          <w:lang w:val="en-US" w:eastAsia="zh-CN" w:bidi="ar-SA"/>
        </w:rPr>
        <w:t>全市货运脏车整治要求，密闭运输物料、强化施工场地进出车辆冲洗作业，做到脏车不出厂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。拌合站区域地面硬化，四周设置围挡，围挡上方设置喷雾设施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，地面定期清扫、洒水降尘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；水泥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采用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筒仓储存，砂石料暂存区、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小型拌合机、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输送皮带封闭设置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，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同时设置喷雾降尘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设施控尘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。</w:t>
      </w:r>
    </w:p>
    <w:p>
      <w:pPr>
        <w:autoSpaceDN w:val="0"/>
        <w:spacing w:line="560" w:lineRule="exact"/>
        <w:ind w:firstLineChars="200" w:firstLine="640"/>
        <w:jc w:val="both"/>
        <w:rPr>
          <w:rFonts w:ascii="Times New Roman" w:eastAsia="仿宋_GB2312" w:cs="Times New Roman" w:hAnsi="Times New Roman"/>
          <w:caps w:val="0"/>
          <w:smallCaps w:val="0"/>
          <w:color w:val="auto"/>
          <w:kern w:val="2"/>
          <w:sz w:val="32"/>
          <w:szCs w:val="32"/>
          <w:vertAlign w:val="baseline"/>
        </w:rPr>
      </w:pP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（三）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0"/>
          <w:sz w:val="32"/>
          <w:szCs w:val="32"/>
          <w:vertAlign w:val="baseline"/>
          <w:lang w:val="en-US" w:eastAsia="zh-CN" w:bidi="ar-SA"/>
        </w:rPr>
        <w:t>严格落实施工期各项水污染防治措施。施工期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0"/>
          <w:sz w:val="32"/>
          <w:szCs w:val="32"/>
          <w:vertAlign w:val="baseline"/>
          <w:lang w:val="en-US" w:eastAsia="zh-CN" w:bidi="ar-SA"/>
        </w:rPr>
        <w:t>设备冲洗水经收集沉淀处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0"/>
          <w:sz w:val="32"/>
          <w:szCs w:val="32"/>
          <w:vertAlign w:val="baseline"/>
          <w:lang w:val="en-US" w:eastAsia="zh-CN" w:bidi="ar-SA"/>
        </w:rPr>
        <w:t>理后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0"/>
          <w:sz w:val="32"/>
          <w:szCs w:val="32"/>
          <w:vertAlign w:val="baseline"/>
          <w:lang w:val="en-US" w:eastAsia="zh-CN" w:bidi="ar-SA"/>
        </w:rPr>
        <w:t>回用于车辆冲洗；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0"/>
          <w:sz w:val="32"/>
          <w:szCs w:val="32"/>
          <w:vertAlign w:val="baseline"/>
          <w:lang w:val="en-US" w:eastAsia="zh-CN" w:bidi="ar-SA"/>
        </w:rPr>
        <w:t>施工人员生活污水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0"/>
          <w:sz w:val="32"/>
          <w:szCs w:val="32"/>
          <w:vertAlign w:val="baseline"/>
          <w:lang w:val="en-US" w:eastAsia="zh-CN" w:bidi="ar-SA"/>
        </w:rPr>
        <w:t>依托周边居民旱厕处理后用于周边农灌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0"/>
          <w:sz w:val="32"/>
          <w:szCs w:val="32"/>
          <w:vertAlign w:val="baseline"/>
          <w:lang w:val="en-US" w:eastAsia="zh-CN" w:bidi="ar-SA"/>
        </w:rPr>
        <w:t>。强化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0"/>
          <w:sz w:val="32"/>
          <w:szCs w:val="32"/>
          <w:vertAlign w:val="baseline"/>
          <w:lang w:val="en-US" w:eastAsia="zh-CN" w:bidi="ar-SA"/>
        </w:rPr>
        <w:t>摩梭河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0"/>
          <w:sz w:val="32"/>
          <w:szCs w:val="32"/>
          <w:vertAlign w:val="baseline"/>
          <w:lang w:val="en-US" w:eastAsia="zh-CN" w:bidi="ar-SA"/>
        </w:rPr>
        <w:t>水环境保护，采取有效措施避免施工弃土弃渣、废水等进入水体。</w:t>
      </w:r>
    </w:p>
    <w:p>
      <w:pPr>
        <w:autoSpaceDN w:val="0"/>
        <w:spacing w:line="560" w:lineRule="exact"/>
        <w:ind w:firstLineChars="200" w:firstLine="640"/>
        <w:jc w:val="both"/>
        <w:rPr>
          <w:rFonts w:ascii="Times New Roman" w:eastAsia="仿宋_GB2312" w:cs="Times New Roman" w:hAnsi="Times New Roman"/>
          <w:caps w:val="0"/>
          <w:smallCaps w:val="0"/>
          <w:color w:val="auto"/>
          <w:kern w:val="0"/>
          <w:sz w:val="32"/>
          <w:szCs w:val="32"/>
          <w:vertAlign w:val="baseline"/>
          <w:highlight w:val="yellow"/>
        </w:rPr>
      </w:pP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（四）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0"/>
          <w:sz w:val="32"/>
          <w:szCs w:val="32"/>
          <w:vertAlign w:val="baseline"/>
          <w:lang w:val="en-US" w:eastAsia="zh-CN" w:bidi="ar-SA"/>
        </w:rPr>
        <w:t>严格落实施工期各项固体废弃物污染防治措施。项目开挖过程中产生的土石方用于堤后回填使用，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0"/>
          <w:sz w:val="32"/>
          <w:szCs w:val="32"/>
          <w:vertAlign w:val="baseline"/>
          <w:lang w:val="en-US" w:eastAsia="zh-CN" w:bidi="ar-SA"/>
        </w:rPr>
        <w:t>少量淤泥用于堤后绿化用土；建筑垃圾分类收集、分选回用，不能回用的定期清运至建筑垃圾填埋场处置；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0"/>
          <w:sz w:val="32"/>
          <w:szCs w:val="32"/>
          <w:vertAlign w:val="baseline"/>
          <w:lang w:val="en-US" w:eastAsia="zh-CN" w:bidi="ar-SA"/>
        </w:rPr>
        <w:t>施工人员生活垃圾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0"/>
          <w:sz w:val="32"/>
          <w:szCs w:val="32"/>
          <w:vertAlign w:val="baseline"/>
          <w:lang w:val="en-US" w:eastAsia="zh-CN" w:bidi="ar-SA"/>
        </w:rPr>
        <w:t>经收集后，定期由环卫部门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0"/>
          <w:sz w:val="32"/>
          <w:szCs w:val="32"/>
          <w:vertAlign w:val="baseline"/>
          <w:lang w:val="en-US" w:eastAsia="zh-CN" w:bidi="ar-SA"/>
        </w:rPr>
        <w:t>统一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0"/>
          <w:sz w:val="32"/>
          <w:szCs w:val="32"/>
          <w:vertAlign w:val="baseline"/>
          <w:lang w:val="en-US" w:eastAsia="zh-CN" w:bidi="ar-SA"/>
        </w:rPr>
        <w:t>清运处理。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outlineLvl w:val="9"/>
        <w:rPr>
          <w:rFonts w:ascii="Times New Roman" w:eastAsia="仿宋_GB2312" w:cs="Times New Roman" w:hAnsi="Times New Roman" w:hint="eastAsia"/>
          <w:caps w:val="0"/>
          <w:smallCaps w:val="0"/>
          <w:color w:val="auto"/>
          <w:kern w:val="2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（五）严格落实各项噪声治理措施。通过选用低噪声设备、合理布局、定期保养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、设置减速标识、禁鸣标识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等措施确保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区域声环境质量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达标。合理规划运输时段和运输路线，避免噪声扰民。</w:t>
      </w:r>
    </w:p>
    <w:p>
      <w:pPr>
        <w:autoSpaceDN w:val="0"/>
        <w:spacing w:line="560" w:lineRule="exact"/>
        <w:ind w:firstLine="640"/>
        <w:jc w:val="both"/>
        <w:rPr>
          <w:rFonts w:ascii="Times New Roman" w:eastAsia="仿宋_GB2312" w:cs="Times New Roman" w:hAnsi="Times New Roman" w:hint="eastAsia"/>
          <w:caps w:val="0"/>
          <w:smallCaps w:val="0"/>
          <w:color w:val="auto"/>
          <w:kern w:val="2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（六）高度重视环境风险防范工作。严格落实“报告表”提出的各项风险防范措施，强化环境风险管控，依法编制应急预案，保证出现事故能得到及时、有效处理，确保环境安全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。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建立健全环境管理机制和环保规章制度，落实岗位环保责任制，加强污染治理设施的日常运行及维护管理，确保污染物稳定达标排放。</w:t>
      </w:r>
    </w:p>
    <w:p>
      <w:pPr>
        <w:autoSpaceDN w:val="0"/>
        <w:spacing w:line="560" w:lineRule="exact"/>
        <w:ind w:firstLine="640"/>
        <w:jc w:val="both"/>
        <w:rPr>
          <w:rFonts w:ascii="Times New Roman" w:eastAsia="仿宋_GB2312" w:cs="Times New Roman" w:hAnsi="Times New Roman" w:hint="eastAsia"/>
          <w:caps w:val="0"/>
          <w:smallCaps w:val="0"/>
          <w:color w:val="auto"/>
          <w:kern w:val="2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（七）加强公众参与。项目在建设及运行管理中，应根据公众的反映，进一步加强与公众的沟通，以适当、稳妥、有效的方式，切实做好宣传、解释、维稳工作，及时解决公众提出的合理环境诉求，避免因公众参与工作落实不到位、相关环保措施不落实，导致环境纠纷和社会稳定问题。</w:t>
      </w:r>
    </w:p>
    <w:p>
      <w:pPr>
        <w:autoSpaceDN w:val="0"/>
        <w:spacing w:line="560" w:lineRule="exact"/>
        <w:ind w:firstLine="640"/>
        <w:jc w:val="both"/>
        <w:rPr>
          <w:rFonts w:ascii="Times New Roman" w:eastAsia="仿宋_GB2312" w:cs="Times New Roman" w:hAnsi="Times New Roman" w:hint="eastAsia"/>
          <w:caps w:val="0"/>
          <w:smallCaps w:val="0"/>
          <w:color w:val="auto"/>
          <w:kern w:val="2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（八）其他应注意的事项按“报告表”、国家相关法律法规落实。</w:t>
      </w:r>
    </w:p>
    <w:p>
      <w:pPr>
        <w:autoSpaceDN w:val="0"/>
        <w:spacing w:line="560" w:lineRule="exact"/>
        <w:ind w:firstLine="640"/>
        <w:jc w:val="both"/>
        <w:rPr>
          <w:rFonts w:ascii="Times New Roman" w:eastAsia="仿宋_GB2312" w:cs="Times New Roman" w:hAnsi="Times New Roman" w:hint="eastAsia"/>
          <w:caps w:val="0"/>
          <w:smallCaps w:val="0"/>
          <w:color w:val="auto"/>
          <w:kern w:val="2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四、项目在实施中必须依法严格执行环保“三同时”制度。项目竣工后，必须按规定程序开展环境保护验收，验收合格后方可投入使用。</w:t>
      </w:r>
    </w:p>
    <w:p>
      <w:pPr>
        <w:autoSpaceDN w:val="0"/>
        <w:spacing w:line="560" w:lineRule="exact"/>
        <w:ind w:firstLine="640"/>
        <w:jc w:val="both"/>
        <w:rPr>
          <w:rFonts w:ascii="Times New Roman" w:eastAsia="仿宋_GB2312" w:cs="Times New Roman" w:hAnsi="Times New Roman"/>
          <w:caps w:val="0"/>
          <w:smallCaps w:val="0"/>
          <w:color w:val="auto"/>
          <w:kern w:val="2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项目环境影响评价文件经批准后，如工程的性质、规模、工艺、地点或者防治污染、防止生态破坏的措施发生重大变化的，建设单位应当重新报批环境影响评价文件，否则不得实施。自环评批复文件批复之日起，如工程超过</w:t>
      </w:r>
      <w:r>
        <w:rPr>
          <w:rFonts w:ascii="Times New Roman" w:eastAsia="仿宋_GB2312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5</w:t>
      </w:r>
      <w:r>
        <w:rPr>
          <w:rFonts w:ascii="仿宋_GB2312" w:eastAsia="仿宋_GB2312" w:cs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年方决定开工建设，环境影响评价文件应当报我局重新审核。</w:t>
      </w:r>
    </w:p>
    <w:p>
      <w:pPr>
        <w:autoSpaceDN w:val="0"/>
        <w:spacing w:line="560" w:lineRule="exact"/>
        <w:ind w:firstLine="640"/>
        <w:jc w:val="both"/>
        <w:rPr>
          <w:rFonts w:ascii="Times New Roman" w:eastAsia="仿宋_GB2312" w:cs="Times New Roman" w:hAnsi="Times New Roman" w:hint="eastAsia"/>
          <w:caps w:val="0"/>
          <w:smallCaps w:val="0"/>
          <w:color w:val="auto"/>
          <w:kern w:val="2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五、请市生态环境保护综合行政执法支队和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攀枝花市仁和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生态环境局加强对该项目的监督管理。</w:t>
      </w:r>
    </w:p>
    <w:p>
      <w:pPr>
        <w:autoSpaceDN w:val="0"/>
        <w:snapToGrid w:val="0"/>
        <w:spacing w:line="560" w:lineRule="exact"/>
        <w:ind w:right="26" w:firstLine="640"/>
        <w:jc w:val="both"/>
        <w:rPr>
          <w:rFonts w:ascii="Times New Roman" w:eastAsia="仿宋_GB2312" w:cs="Times New Roman" w:hAnsi="Times New Roman"/>
          <w:caps w:val="0"/>
          <w:smallCaps w:val="0"/>
          <w:color w:val="auto"/>
          <w:kern w:val="2"/>
          <w:sz w:val="32"/>
          <w:szCs w:val="32"/>
          <w:vertAlign w:val="baseline"/>
        </w:rPr>
      </w:pP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你单位应在收到本批复</w:t>
      </w:r>
      <w:r>
        <w:rPr>
          <w:rFonts w:ascii="Times New Roman" w:eastAsia="仿宋_GB2312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15</w:t>
      </w:r>
      <w:r>
        <w:rPr>
          <w:rFonts w:ascii="仿宋_GB2312" w:eastAsia="仿宋_GB2312" w:cs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个工作日内将批复后的报告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表送达</w:t>
      </w:r>
      <w:r>
        <w:rPr>
          <w:rFonts w:ascii="仿宋_GB2312" w:eastAsia="仿宋_GB2312" w:cs="仿宋_GB2312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攀枝花市仁和生态环境局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备案，并接受各级生态环境主管部门的监管。</w:t>
      </w:r>
    </w:p>
    <w:p>
      <w:pPr>
        <w:autoSpaceDN w:val="0"/>
        <w:spacing w:line="560" w:lineRule="exact"/>
        <w:ind w:firstLine="640"/>
        <w:jc w:val="both"/>
        <w:rPr>
          <w:rFonts w:ascii="Times New Roman" w:eastAsia="仿宋_GB2312" w:cs="Times New Roman" w:hAnsi="Times New Roman"/>
          <w:caps w:val="0"/>
          <w:smallCaps w:val="0"/>
          <w:color w:val="auto"/>
          <w:kern w:val="2"/>
          <w:sz w:val="32"/>
          <w:szCs w:val="32"/>
          <w:vertAlign w:val="baseline"/>
        </w:rPr>
      </w:pPr>
    </w:p>
    <w:p>
      <w:pPr>
        <w:autoSpaceDN w:val="0"/>
        <w:spacing w:line="560" w:lineRule="exact"/>
        <w:jc w:val="both"/>
        <w:rPr>
          <w:rFonts w:ascii="Times New Roman" w:eastAsia="仿宋_GB2312" w:cs="Times New Roman" w:hAnsi="Times New Roman"/>
          <w:caps w:val="0"/>
          <w:smallCaps w:val="0"/>
          <w:color w:val="auto"/>
          <w:kern w:val="2"/>
          <w:sz w:val="32"/>
          <w:szCs w:val="32"/>
          <w:vertAlign w:val="baseline"/>
        </w:rPr>
      </w:pPr>
    </w:p>
    <w:p>
      <w:pPr>
        <w:autoSpaceDN w:val="0"/>
        <w:spacing w:line="560" w:lineRule="exact"/>
        <w:jc w:val="both"/>
        <w:rPr>
          <w:rFonts w:ascii="Times New Roman" w:eastAsia="仿宋_GB2312" w:cs="Times New Roman" w:hAnsi="Times New Roman"/>
          <w:caps w:val="0"/>
          <w:smallCaps w:val="0"/>
          <w:color w:val="auto"/>
          <w:kern w:val="2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 xml:space="preserve">                           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攀枝花市生态环境局</w:t>
      </w:r>
      <w:r>
        <w:rPr>
          <w:rFonts w:ascii="Times New Roman" w:eastAsia="仿宋_GB2312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 xml:space="preserve"> </w:t>
      </w:r>
    </w:p>
    <w:p>
      <w:pPr>
        <w:autoSpaceDN w:val="0"/>
        <w:spacing w:line="560" w:lineRule="exact"/>
        <w:jc w:val="both"/>
        <w:rPr>
          <w:rFonts w:ascii="Times New Roman" w:eastAsia="仿宋_GB2312" w:cs="Times New Roman" w:hAnsi="Times New Roman"/>
          <w:caps w:val="0"/>
          <w:smallCaps w:val="0"/>
          <w:color w:val="auto"/>
          <w:kern w:val="2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 xml:space="preserve">                             2023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年</w:t>
      </w:r>
      <w:r>
        <w:rPr>
          <w:rFonts w:ascii="Times New Roman" w:eastAsia="仿宋_GB2312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8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月</w:t>
      </w:r>
      <w:r>
        <w:rPr>
          <w:rFonts w:ascii="Times New Roman" w:eastAsia="仿宋_GB2312" w:cs="Times New Roman" w:hAnsi="Times New Roman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18</w:t>
      </w:r>
      <w:r>
        <w:rPr>
          <w:rFonts w:ascii="Times New Roman" w:eastAsia="仿宋_GB2312" w:cs="Times New Roman" w:hAnsi="Times New Roman" w:hint="eastAsia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 w:bidi="ar-SA"/>
        </w:rPr>
        <w:t>日</w:t>
      </w:r>
    </w:p>
    <w:p>
      <w:pPr>
        <w:autoSpaceDN w:val="0"/>
        <w:spacing w:line="560" w:lineRule="exact"/>
        <w:jc w:val="both"/>
        <w:rPr>
          <w:rFonts w:ascii="Times New Roman" w:eastAsia="仿宋_GB2312" w:cs="Times New Roman" w:hAnsi="Times New Roman"/>
          <w:caps w:val="0"/>
          <w:smallCaps w:val="0"/>
          <w:color w:val="auto"/>
          <w:kern w:val="2"/>
          <w:sz w:val="32"/>
          <w:szCs w:val="32"/>
          <w:vertAlign w:val="baseline"/>
          <w:lang w:bidi="ar-SA"/>
        </w:rPr>
      </w:pPr>
    </w:p>
    <w:p>
      <w:pPr>
        <w:autoSpaceDN w:val="0"/>
        <w:spacing w:line="300" w:lineRule="exact"/>
        <w:jc w:val="both"/>
        <w:rPr>
          <w:rFonts w:ascii="Times New Roman" w:eastAsia="仿宋_GB2312" w:cs="Times New Roman" w:hAnsi="Times New Roman"/>
          <w:caps w:val="0"/>
          <w:smallCaps w:val="0"/>
          <w:color w:val="auto"/>
          <w:kern w:val="2"/>
          <w:sz w:val="32"/>
          <w:szCs w:val="32"/>
          <w:vertAlign w:val="baseline"/>
          <w:lang w:bidi="ar-SA"/>
        </w:rPr>
      </w:pPr>
    </w:p>
    <w:sectPr>
      <w:pgSz w:w="11907" w:h="16839"/>
      <w:pgMar w:top="1440" w:right="1800" w:bottom="1440" w:left="1800" w:header="851" w:footer="992" w:gutter="1"/>
      <w:pgBorders w:offsetFrom="page"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pgNumType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evenAndOddHeaders/>
  <w:drawingGridHorizontalSpacing w:val="18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 2"/>
    <w:basedOn w:val="0"/>
    <w:pPr>
      <w:keepNext w:val="0"/>
      <w:keepLines w:val="0"/>
      <w:widowControl w:val="0"/>
      <w:suppressLineNumbers w:val="0"/>
      <w:spacing w:before="100" w:beforeAutospacing="1" w:after="120" w:afterAutospacing="0" w:line="480" w:lineRule="auto"/>
      <w:ind w:left="0" w:firstLine="0"/>
      <w:jc w:val="both"/>
    </w:pPr>
    <w:rPr>
      <w:rFonts w:ascii="Calibri" w:eastAsia="仿宋_GB2312" w:cs="Times New Roman" w:hAnsi="Calibri"/>
      <w:b w:val="0"/>
      <w:bCs w:val="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4</Pages>
  <Words>1793</Words>
  <Characters>1829</Characters>
  <Lines>86</Lines>
  <Paragraphs>22</Paragraphs>
  <CharactersWithSpaces>1886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lengxuejun</dc:creator>
  <cp:lastModifiedBy>user</cp:lastModifiedBy>
  <cp:revision>0</cp:revision>
  <dcterms:created xsi:type="dcterms:W3CDTF">2023-08-18T22:52:00Z</dcterms:created>
  <dcterms:modified xsi:type="dcterms:W3CDTF">2023-08-21T08:20:13Z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2052-11.8.2.10290</vt:lpwstr>
  </property>
</Properties>
</file>