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szCs w:val="21"/>
        </w:rPr>
      </w:pPr>
      <w:bookmarkStart w:id="0" w:name="_Toc15306267"/>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1" w:name="_Toc15377193"/>
      <w:bookmarkStart w:id="2" w:name="_Toc15377425"/>
      <w:bookmarkStart w:id="3" w:name="_Toc15396597"/>
      <w:bookmarkStart w:id="4" w:name="_Toc15378441"/>
      <w:bookmarkStart w:id="5" w:name="_Toc15396475"/>
      <w:r>
        <w:rPr>
          <w:rFonts w:ascii="方正小标宋简体" w:eastAsia="方正小标宋简体" w:cs="方正小标宋简体" w:hAnsi="方正小标宋简体" w:hint="eastAsia"/>
          <w:sz w:val="72"/>
          <w:szCs w:val="72"/>
        </w:rPr>
        <w:t>2022年度</w:t>
      </w:r>
      <w:bookmarkStart w:id="6" w:name="_Toc15377194"/>
      <w:bookmarkStart w:id="7" w:name="_Toc15396476"/>
      <w:bookmarkStart w:id="8" w:name="_Toc15378442"/>
      <w:bookmarkStart w:id="9" w:name="_Toc15377426"/>
      <w:bookmarkStart w:id="10" w:name="_Toc15396598"/>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cs="方正小标宋简体" w:hAnsi="方正小标宋简体"/>
          <w:sz w:val="72"/>
          <w:szCs w:val="72"/>
        </w:rPr>
      </w:pPr>
      <w:r>
        <w:rPr>
          <w:rFonts w:ascii="方正小标宋简体" w:eastAsia="方正小标宋简体" w:cs="方正小标宋简体" w:hAnsi="方正小标宋简体"/>
          <w:sz w:val="72"/>
          <w:szCs w:val="72"/>
        </w:rPr>
        <w:t>四川省中共</w:t>
      </w:r>
      <w:r>
        <w:rPr>
          <w:rFonts w:ascii="方正小标宋简体" w:eastAsia="方正小标宋简体" w:cs="方正小标宋简体" w:hAnsi="方正小标宋简体" w:hint="eastAsia"/>
          <w:sz w:val="72"/>
          <w:szCs w:val="72"/>
        </w:rPr>
        <w:t>攀枝花市</w:t>
      </w:r>
      <w:bookmarkStart w:id="11" w:name="_Toc15306268"/>
      <w:bookmarkEnd w:id="0"/>
      <w:r>
        <w:rPr>
          <w:rFonts w:ascii="方正小标宋简体" w:eastAsia="方正小标宋简体" w:cs="方正小标宋简体" w:hAnsi="方正小标宋简体"/>
          <w:sz w:val="72"/>
          <w:szCs w:val="72"/>
        </w:rPr>
        <w:t>委党史研究室</w:t>
      </w:r>
      <w:r>
        <w:rPr>
          <w:rFonts w:ascii="方正小标宋简体" w:eastAsia="方正小标宋简体" w:cs="方正小标宋简体" w:hAnsi="方正小标宋简体" w:hint="eastAsia"/>
          <w:sz w:val="72"/>
          <w:szCs w:val="72"/>
        </w:rPr>
        <w:t>决算</w:t>
      </w:r>
      <w:bookmarkEnd w:id="6"/>
      <w:bookmarkEnd w:id="7"/>
      <w:bookmarkEnd w:id="8"/>
      <w:bookmarkEnd w:id="9"/>
      <w:bookmarkEnd w:id="10"/>
      <w:bookmarkEnd w:id="11"/>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目录</w:t>
      </w:r>
    </w:p>
    <w:p>
      <w:pPr>
        <w:widowControl/>
        <w:jc w:val="center"/>
        <w:rPr>
          <w:rFonts w:ascii="黑体" w:eastAsia="黑体" w:cs="Arial" w:hAnsi="黑体"/>
          <w:sz w:val="28"/>
          <w:szCs w:val="28"/>
        </w:rPr>
      </w:pPr>
    </w:p>
    <w:p>
      <w:pPr>
        <w:pStyle w:val="20"/>
        <w:tabs>
          <w:tab w:val="right" w:leader="dot" w:pos="8296"/>
        </w:tabs>
      </w:pPr>
      <w:r>
        <w:rPr>
          <w:rFonts w:hint="eastAsia"/>
        </w:rPr>
        <w:t>公开时间：2023年</w:t>
      </w:r>
      <w:r>
        <w:t>9</w:t>
      </w:r>
      <w:r>
        <w:rPr>
          <w:rFonts w:hint="eastAsia"/>
        </w:rPr>
        <w:t>月</w:t>
      </w:r>
      <w:r>
        <w:t>15</w:t>
      </w:r>
      <w:r>
        <w:rPr>
          <w:rFonts w:hint="eastAsia"/>
        </w:rPr>
        <w:t>日</w:t>
      </w:r>
    </w:p>
    <w:p/>
    <w:p>
      <w:pPr>
        <w:pStyle w:val="20"/>
        <w:tabs>
          <w:tab w:val="right" w:leader="dot" w:pos="8296"/>
        </w:tabs>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r>
        <w:rPr>
          <w:rFonts w:cs="Arial"/>
          <w:sz w:val="24"/>
          <w:szCs w:val="24"/>
        </w:rPr>
        <w:tab/>
        <w:t>4</w:t>
      </w:r>
    </w:p>
    <w:p>
      <w:pPr>
        <w:pStyle w:val="21"/>
        <w:tabs>
          <w:tab w:val="right" w:leader="dot" w:pos="8296"/>
        </w:tabs>
        <w:adjustRightInd w:val="0"/>
        <w:snapToGrid w:val="0"/>
        <w:spacing w:line="440" w:lineRule="exact"/>
        <w:jc w:val="left"/>
        <w:rPr>
          <w:sz w:val="24"/>
        </w:rPr>
      </w:pPr>
      <w:r>
        <w:rPr>
          <w:rFonts w:hint="eastAsia"/>
          <w:sz w:val="24"/>
        </w:rPr>
        <w:t>一、主要职责</w:t>
      </w:r>
      <w:r>
        <w:rPr>
          <w:rFonts w:cs="Arial"/>
          <w:sz w:val="24"/>
          <w:szCs w:val="24"/>
        </w:rPr>
        <w:tab/>
        <w:t>4</w:t>
      </w:r>
    </w:p>
    <w:p>
      <w:pPr>
        <w:pStyle w:val="21"/>
        <w:tabs>
          <w:tab w:val="right" w:leader="dot" w:pos="8296"/>
        </w:tabs>
        <w:adjustRightInd w:val="0"/>
        <w:snapToGrid w:val="0"/>
        <w:spacing w:line="440" w:lineRule="exact"/>
        <w:jc w:val="left"/>
      </w:pPr>
      <w:r>
        <w:rPr>
          <w:rFonts w:hint="eastAsia"/>
          <w:sz w:val="24"/>
        </w:rPr>
        <w:t>二、机构设置</w:t>
      </w:r>
      <w:r>
        <w:rPr>
          <w:rFonts w:cs="Arial"/>
          <w:sz w:val="24"/>
          <w:szCs w:val="24"/>
        </w:rPr>
        <w:tab/>
        <w:t>4</w:t>
      </w:r>
    </w:p>
    <w:p>
      <w:pPr>
        <w:pStyle w:val="20"/>
        <w:tabs>
          <w:tab w:val="right" w:leader="dot" w:pos="8296"/>
        </w:tabs>
        <w:adjustRightInd w:val="0"/>
        <w:snapToGrid w:val="0"/>
        <w:spacing w:before="0" w:line="440" w:lineRule="exact"/>
        <w:jc w:val="left"/>
        <w:rPr>
          <w:sz w:val="24"/>
          <w:szCs w:val="24"/>
        </w:rPr>
      </w:pPr>
      <w:r>
        <w:rPr>
          <w:rFonts w:hint="eastAsia"/>
          <w:sz w:val="24"/>
        </w:rPr>
        <w:t>第二部分 2022年度单位决算情况说明</w:t>
      </w:r>
      <w:r>
        <w:rPr>
          <w:rFonts w:cs="Arial"/>
          <w:sz w:val="24"/>
          <w:szCs w:val="24"/>
        </w:rPr>
        <w:tab/>
        <w:t>5</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一、收入支出决算总体情况说明</w:t>
      </w:r>
      <w:r>
        <w:rPr>
          <w:rFonts w:cs="Arial"/>
          <w:sz w:val="24"/>
          <w:szCs w:val="24"/>
        </w:rPr>
        <w:tab/>
        <w:t>5</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二、收入决算情况说明</w:t>
      </w:r>
      <w:r>
        <w:rPr>
          <w:rFonts w:cs="Arial"/>
          <w:sz w:val="24"/>
          <w:szCs w:val="24"/>
        </w:rPr>
        <w:tab/>
        <w:t>5</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三、支出决算情况说明</w:t>
      </w:r>
      <w:r>
        <w:rPr>
          <w:rFonts w:cs="Arial"/>
          <w:sz w:val="24"/>
          <w:szCs w:val="24"/>
        </w:rPr>
        <w:tab/>
        <w:t>6</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四、财政拨款收入支出决算总体情况说明</w:t>
      </w:r>
      <w:r>
        <w:rPr>
          <w:rFonts w:cs="Arial"/>
          <w:sz w:val="24"/>
          <w:szCs w:val="24"/>
        </w:rPr>
        <w:tab/>
        <w:t>7</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五、一般公共预算财政拨款支出决算情况说明</w:t>
      </w:r>
      <w:r>
        <w:rPr>
          <w:rFonts w:cs="Arial"/>
          <w:sz w:val="24"/>
          <w:szCs w:val="24"/>
        </w:rPr>
        <w:tab/>
        <w:t>7</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六、一般公共预算财政拨款基本支出决算情况说明</w:t>
      </w:r>
      <w:r>
        <w:rPr>
          <w:rFonts w:cs="Arial"/>
          <w:sz w:val="24"/>
          <w:szCs w:val="24"/>
        </w:rPr>
        <w:tab/>
        <w:t>10</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七、财政拨款“三公”经费支出决算情况说明</w:t>
      </w:r>
      <w:r>
        <w:rPr>
          <w:rFonts w:cs="Arial"/>
          <w:sz w:val="24"/>
          <w:szCs w:val="24"/>
        </w:rPr>
        <w:tab/>
        <w:t>11</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八、政府性基金预算支出决算情况说明</w:t>
      </w:r>
      <w:r>
        <w:rPr>
          <w:rFonts w:cs="Arial"/>
          <w:sz w:val="24"/>
          <w:szCs w:val="24"/>
        </w:rPr>
        <w:tab/>
        <w:t>12</w:t>
      </w:r>
    </w:p>
    <w:p>
      <w:pPr>
        <w:pStyle w:val="21"/>
        <w:tabs>
          <w:tab w:val="right" w:leader="dot" w:pos="8296"/>
        </w:tabs>
        <w:adjustRightInd w:val="0"/>
        <w:snapToGrid w:val="0"/>
        <w:spacing w:line="440" w:lineRule="exact"/>
        <w:jc w:val="left"/>
        <w:rPr>
          <w:sz w:val="24"/>
        </w:rPr>
      </w:pPr>
      <w:r>
        <w:rPr>
          <w:rFonts w:hint="eastAsia"/>
          <w:sz w:val="24"/>
        </w:rPr>
        <w:t>九、国有资本经营预算支出决算情况说明</w:t>
      </w:r>
      <w:r>
        <w:rPr>
          <w:rFonts w:cs="Arial"/>
          <w:sz w:val="24"/>
          <w:szCs w:val="24"/>
        </w:rPr>
        <w:tab/>
        <w:t>12</w:t>
      </w:r>
    </w:p>
    <w:p>
      <w:pPr>
        <w:pStyle w:val="21"/>
        <w:tabs>
          <w:tab w:val="right" w:leader="dot" w:pos="8296"/>
        </w:tabs>
        <w:adjustRightInd w:val="0"/>
        <w:snapToGrid w:val="0"/>
        <w:spacing w:line="440" w:lineRule="exact"/>
        <w:jc w:val="left"/>
        <w:rPr>
          <w:sz w:val="24"/>
        </w:rPr>
      </w:pPr>
      <w:r>
        <w:rPr>
          <w:rFonts w:hint="eastAsia"/>
          <w:sz w:val="24"/>
        </w:rPr>
        <w:t>十、其他重要事项的情况说明</w:t>
      </w:r>
      <w:r>
        <w:rPr>
          <w:rFonts w:cs="Arial"/>
          <w:sz w:val="24"/>
          <w:szCs w:val="24"/>
        </w:rPr>
        <w:tab/>
        <w:t>12</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r>
        <w:rPr>
          <w:rFonts w:cs="Arial"/>
          <w:sz w:val="24"/>
          <w:szCs w:val="24"/>
        </w:rPr>
        <w:tab/>
        <w:t>14</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r>
        <w:rPr>
          <w:rFonts w:cs="Arial"/>
          <w:sz w:val="24"/>
          <w:szCs w:val="24"/>
        </w:rPr>
        <w:tab/>
        <w:t>17</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一、收入支出决算总表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二、收入决算表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三、支出决算表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四、财政拨款收入支出决算总表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五、财政拨款支出决算明细表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六、一般公共预算财政拨款支出决算表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七、一般公共预算财政拨款支出决算明细表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八、一般公共预算财政拨款基本支出决算明细表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九、一般公共预算财政拨款项目支出决算表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十、政府性基金预算财政拨款收入支出决算表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十一、国有资本经营预算财政拨款收入支出决算表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十二、国有资本经营预算财政拨款支出决算表</w:t>
      </w:r>
      <w:r>
        <w:rPr>
          <w:rFonts w:cs="Arial"/>
          <w:sz w:val="24"/>
          <w:szCs w:val="24"/>
        </w:rPr>
        <w:tab/>
        <w:t>18</w:t>
      </w:r>
    </w:p>
    <w:p>
      <w:pPr>
        <w:pStyle w:val="21"/>
        <w:tabs>
          <w:tab w:val="right" w:leader="dot" w:pos="8296"/>
        </w:tabs>
        <w:adjustRightInd w:val="0"/>
        <w:snapToGrid w:val="0"/>
        <w:spacing w:line="440" w:lineRule="exact"/>
        <w:jc w:val="left"/>
        <w:rPr>
          <w:sz w:val="24"/>
        </w:rPr>
      </w:pPr>
      <w:r>
        <w:rPr>
          <w:rFonts w:hint="eastAsia"/>
          <w:sz w:val="24"/>
        </w:rPr>
        <w:t>十三、财政拨款“三公”经费支出决算表</w:t>
      </w:r>
      <w:r>
        <w:rPr>
          <w:rFonts w:cs="Arial"/>
          <w:sz w:val="24"/>
          <w:szCs w:val="24"/>
        </w:rPr>
        <w:tab/>
        <w:t>18</w:t>
      </w:r>
      <w:bookmarkStart w:id="12" w:name="_GoBack"/>
      <w:bookmarkEnd w:id="12"/>
    </w:p>
    <w:p>
      <w:pPr>
        <w:widowControl/>
        <w:adjustRightInd w:val="0"/>
        <w:snapToGrid w:val="0"/>
        <w:spacing w:line="440" w:lineRule="exact"/>
        <w:ind w:firstLineChars="550" w:firstLine="1320"/>
        <w:jc w:val="left"/>
        <w:rPr>
          <w:rFonts w:ascii="仿宋" w:eastAsia="仿宋" w:hAnsi="仿宋"/>
          <w:sz w:val="24"/>
        </w:rPr>
      </w:pPr>
    </w:p>
    <w:p>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pPr>
        <w:pStyle w:val="1"/>
        <w:jc w:val="center"/>
        <w:rPr>
          <w:rFonts w:ascii="黑体" w:eastAsia="黑体" w:hAnsi="黑体" w:hint="eastAsia"/>
          <w:b w:val="0"/>
          <w:kern w:val="44"/>
          <w:sz w:val="44"/>
          <w:szCs w:val="44"/>
        </w:rPr>
      </w:pPr>
      <w:r>
        <w:rPr>
          <w:rFonts w:ascii="黑体" w:eastAsia="黑体" w:hAnsi="黑体" w:hint="eastAsia"/>
          <w:b w:val="0"/>
        </w:rPr>
        <w:t>第一部分 单位</w:t>
      </w:r>
      <w:r>
        <w:rPr>
          <w:rFonts w:ascii="黑体" w:eastAsia="黑体" w:hAnsi="黑体" w:hint="eastAsia"/>
          <w:b w:val="0"/>
          <w:kern w:val="44"/>
          <w:sz w:val="44"/>
          <w:szCs w:val="44"/>
        </w:rPr>
        <w:t>概况</w:t>
      </w:r>
      <w:bookmarkEnd w:id="13"/>
      <w:bookmarkEnd w:id="14"/>
    </w:p>
    <w:p>
      <w:pPr>
        <w:widowControl/>
        <w:jc w:val="left"/>
        <w:rPr>
          <w:rFonts w:ascii="黑体" w:eastAsia="黑体"/>
          <w:sz w:val="32"/>
          <w:szCs w:val="32"/>
        </w:rPr>
      </w:pPr>
    </w:p>
    <w:p>
      <w:pPr>
        <w:pStyle w:val="2"/>
        <w:numPr>
          <w:ilvl w:val="0"/>
          <w:numId w:val="1"/>
        </w:numPr>
        <w:rPr>
          <w:rStyle w:val="2Char"/>
          <w:rFonts w:ascii="黑体" w:eastAsia="黑体" w:hAnsi="黑体"/>
          <w:b w:val="0"/>
          <w:bCs w:val="0"/>
        </w:rPr>
      </w:pPr>
      <w:bookmarkStart w:id="15" w:name="_Toc15377197"/>
      <w:bookmarkStart w:id="16" w:name="_Toc15396600"/>
      <w:r>
        <w:rPr>
          <w:rStyle w:val="2Char"/>
          <w:rFonts w:ascii="黑体" w:eastAsia="黑体" w:hAnsi="黑体" w:hint="eastAsia"/>
          <w:b w:val="0"/>
          <w:bCs w:val="0"/>
        </w:rPr>
        <w:t>主要职责</w:t>
      </w:r>
    </w:p>
    <w:p>
      <w:pPr>
        <w:ind w:firstLineChars="200" w:firstLine="640"/>
      </w:pPr>
      <w:r>
        <w:rPr>
          <w:rFonts w:ascii="仿宋_GB2312" w:eastAsia="仿宋_GB2312" w:hint="eastAsia"/>
          <w:vanish w:val="0"/>
          <w:kern w:val="2"/>
          <w:sz w:val="32"/>
          <w:szCs w:val="32"/>
        </w:rPr>
        <w:t>本室的主要职责是：贯彻落实省委有关党史工作的方针、政策和市委关于党史的重要指示；研究、拟定全市党史工作规划，并组织实施；负责全市重要党史资料的征集、整理、编纂和出版工作；研究中共攀枝花历史，总结党的历史经验，编写中共攀枝花地方史；编辑出版党史书刊；办好中共攀枝花市委机关刊物《攀枝花纪事》杂志；推动党史成果转化，开展党史、革命史、建设史、改革史的宣传教育和党史专题研究工作；组织党史工作经验交流，负责全市党史研究干部培训工作；指导区（县）委的党史业务工作；承办省委党史研究室和市委交办的其他工作。</w:t>
      </w:r>
    </w:p>
    <w:p>
      <w:pPr>
        <w:pStyle w:val="2"/>
        <w:rPr>
          <w:rFonts w:ascii="黑体" w:eastAsia="黑体" w:hAnsi="黑体"/>
          <w:b w:val="0"/>
        </w:rPr>
      </w:pPr>
      <w:r>
        <w:rPr>
          <w:rFonts w:ascii="黑体" w:eastAsia="黑体" w:hAnsi="黑体" w:hint="eastAsia"/>
          <w:b w:val="0"/>
        </w:rPr>
        <w:t>二、机构设置</w:t>
      </w:r>
    </w:p>
    <w:p>
      <w:pPr>
        <w:widowControl/>
        <w:ind w:firstLineChars="200" w:firstLine="640"/>
        <w:jc w:val="left"/>
        <w:rPr>
          <w:rFonts w:ascii="仿宋_GB2312" w:eastAsia="仿宋_GB2312"/>
          <w:vanish w:val="0"/>
          <w:kern w:val="2"/>
          <w:sz w:val="32"/>
          <w:szCs w:val="32"/>
        </w:rPr>
      </w:pPr>
      <w:bookmarkEnd w:id="15"/>
      <w:bookmarkEnd w:id="16"/>
      <w:r>
        <w:rPr>
          <w:rFonts w:ascii="仿宋_GB2312" w:eastAsia="仿宋_GB2312" w:hint="eastAsia"/>
          <w:vanish w:val="0"/>
          <w:kern w:val="2"/>
          <w:sz w:val="32"/>
          <w:szCs w:val="32"/>
        </w:rPr>
        <w:t>本室为</w:t>
      </w:r>
      <w:r>
        <w:rPr>
          <w:rFonts w:ascii="Times New Roman" w:eastAsia="仿宋_GB2312" w:cs="Times New Roman" w:hAnsi="Times New Roman" w:hint="eastAsia"/>
          <w:vanish w:val="0"/>
          <w:kern w:val="2"/>
          <w:sz w:val="32"/>
          <w:szCs w:val="32"/>
        </w:rPr>
        <w:t>参照公务员法管理事业</w:t>
      </w:r>
      <w:r>
        <w:rPr>
          <w:rFonts w:ascii="仿宋_GB2312" w:eastAsia="仿宋_GB2312" w:hint="eastAsia"/>
          <w:vanish w:val="0"/>
          <w:kern w:val="2"/>
          <w:sz w:val="32"/>
          <w:szCs w:val="32"/>
        </w:rPr>
        <w:t>单位，编制</w:t>
      </w:r>
      <w:r>
        <w:rPr>
          <w:rFonts w:ascii="Times New Roman" w:eastAsia="仿宋_GB2312" w:hAnsi="Times New Roman"/>
          <w:vanish w:val="0"/>
          <w:kern w:val="2"/>
          <w:sz w:val="32"/>
          <w:szCs w:val="32"/>
        </w:rPr>
        <w:t>9</w:t>
      </w:r>
      <w:r>
        <w:rPr>
          <w:rFonts w:ascii="仿宋_GB2312" w:eastAsia="仿宋_GB2312" w:hint="eastAsia"/>
          <w:vanish w:val="0"/>
          <w:kern w:val="2"/>
          <w:sz w:val="32"/>
          <w:szCs w:val="32"/>
        </w:rPr>
        <w:t>名。至</w:t>
      </w:r>
      <w:r>
        <w:rPr>
          <w:rFonts w:ascii="Times New Roman" w:eastAsia="仿宋_GB2312" w:hAnsi="Times New Roman"/>
          <w:vanish w:val="0"/>
          <w:kern w:val="2"/>
          <w:sz w:val="32"/>
          <w:szCs w:val="32"/>
        </w:rPr>
        <w:t>202</w:t>
      </w:r>
      <w:r>
        <w:rPr>
          <w:rFonts w:ascii="Times New Roman" w:eastAsia="仿宋_GB2312" w:cs="Times New Roman" w:hAnsi="Times New Roman"/>
          <w:vanish w:val="0"/>
          <w:kern w:val="2"/>
          <w:sz w:val="32"/>
          <w:szCs w:val="32"/>
        </w:rPr>
        <w:t>2</w:t>
      </w:r>
      <w:r>
        <w:rPr>
          <w:rFonts w:ascii="仿宋_GB2312" w:eastAsia="仿宋_GB2312" w:hint="eastAsia"/>
          <w:vanish w:val="0"/>
          <w:kern w:val="2"/>
          <w:sz w:val="32"/>
          <w:szCs w:val="32"/>
        </w:rPr>
        <w:t>年末，本室实有在职人员</w:t>
      </w:r>
      <w:r>
        <w:rPr>
          <w:rFonts w:ascii="Times New Roman" w:eastAsia="仿宋_GB2312" w:cs="Times New Roman" w:hAnsi="Times New Roman"/>
          <w:vanish w:val="0"/>
          <w:kern w:val="2"/>
          <w:sz w:val="32"/>
          <w:szCs w:val="32"/>
        </w:rPr>
        <w:t>8</w:t>
      </w:r>
      <w:r>
        <w:rPr>
          <w:rFonts w:ascii="仿宋_GB2312" w:eastAsia="仿宋_GB2312" w:hint="eastAsia"/>
          <w:vanish w:val="0"/>
          <w:kern w:val="2"/>
          <w:sz w:val="32"/>
          <w:szCs w:val="32"/>
        </w:rPr>
        <w:t>人，退休人员</w:t>
      </w:r>
      <w:r>
        <w:rPr>
          <w:rFonts w:ascii="Times New Roman" w:eastAsia="仿宋_GB2312" w:hAnsi="Times New Roman"/>
          <w:vanish w:val="0"/>
          <w:kern w:val="2"/>
          <w:sz w:val="32"/>
          <w:szCs w:val="32"/>
        </w:rPr>
        <w:t>10</w:t>
      </w:r>
      <w:r>
        <w:rPr>
          <w:rFonts w:ascii="仿宋_GB2312" w:eastAsia="仿宋_GB2312" w:hint="eastAsia"/>
          <w:vanish w:val="0"/>
          <w:kern w:val="2"/>
          <w:sz w:val="32"/>
          <w:szCs w:val="32"/>
        </w:rPr>
        <w:t>人</w:t>
      </w:r>
      <w:r>
        <w:rPr>
          <w:rFonts w:ascii="Times New Roman" w:eastAsia="仿宋_GB2312" w:cs="Times New Roman" w:hAnsi="Times New Roman" w:hint="eastAsia"/>
          <w:vanish w:val="0"/>
          <w:kern w:val="2"/>
          <w:sz w:val="32"/>
          <w:szCs w:val="32"/>
        </w:rPr>
        <w:t>，机构无变化</w:t>
      </w:r>
      <w:r>
        <w:rPr>
          <w:rFonts w:ascii="仿宋_GB2312" w:eastAsia="仿宋_GB2312" w:hint="eastAsia"/>
          <w:vanish w:val="0"/>
          <w:kern w:val="2"/>
          <w:sz w:val="32"/>
          <w:szCs w:val="32"/>
        </w:rPr>
        <w:t>。</w:t>
      </w:r>
      <w:r>
        <w:rPr>
          <w:rFonts w:ascii="仿宋_GB2312" w:eastAsia="仿宋_GB2312"/>
          <w:vanish w:val="0"/>
          <w:kern w:val="2"/>
          <w:sz w:val="32"/>
          <w:szCs w:val="32"/>
        </w:rPr>
        <w:t>在职人员比2021年减少1人，调出到其他机关单位。</w:t>
      </w:r>
    </w:p>
    <w:p>
      <w:pPr>
        <w:pStyle w:val="15"/>
      </w:pPr>
    </w:p>
    <w:p>
      <w:pPr>
        <w:pStyle w:val="1"/>
        <w:ind w:right="440"/>
        <w:jc w:val="center"/>
        <w:rPr>
          <w:rFonts w:ascii="黑体" w:eastAsia="黑体" w:hAnsi="黑体" w:hint="eastAsia"/>
          <w:b w:val="0"/>
          <w:kern w:val="44"/>
          <w:sz w:val="44"/>
          <w:szCs w:val="44"/>
        </w:rPr>
      </w:pPr>
      <w:bookmarkStart w:id="17" w:name="_Toc15377204"/>
      <w:bookmarkStart w:id="18" w:name="_Toc15396602"/>
      <w:r>
        <w:rPr>
          <w:rFonts w:ascii="黑体" w:eastAsia="黑体" w:hAnsi="黑体" w:hint="eastAsia"/>
          <w:b w:val="0"/>
        </w:rPr>
        <w:t>第二部分 2022年度</w:t>
      </w:r>
      <w:r>
        <w:rPr>
          <w:rFonts w:ascii="黑体" w:eastAsia="黑体" w:hAnsi="黑体" w:hint="eastAsia"/>
          <w:b w:val="0"/>
          <w:kern w:val="44"/>
          <w:sz w:val="44"/>
          <w:szCs w:val="44"/>
        </w:rPr>
        <w:t>单位决算情况说明</w:t>
      </w:r>
      <w:bookmarkEnd w:id="17"/>
      <w:bookmarkEnd w:id="18"/>
    </w:p>
    <w:p/>
    <w:p>
      <w:pPr>
        <w:pStyle w:val="28"/>
        <w:numPr>
          <w:ilvl w:val="0"/>
          <w:numId w:val="2"/>
        </w:numPr>
        <w:spacing w:line="60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Pr>
          <w:rFonts w:ascii="仿宋" w:eastAsia="仿宋" w:hAnsi="仿宋"/>
          <w:sz w:val="32"/>
          <w:szCs w:val="32"/>
        </w:rPr>
        <w:t>229.69</w:t>
      </w:r>
      <w:r>
        <w:rPr>
          <w:rFonts w:ascii="仿宋" w:eastAsia="仿宋" w:hAnsi="仿宋" w:hint="eastAsia"/>
          <w:sz w:val="32"/>
          <w:szCs w:val="32"/>
        </w:rPr>
        <w:t>万元。与2021年相比，收、支总计各减少</w:t>
      </w:r>
      <w:r>
        <w:rPr>
          <w:rFonts w:ascii="仿宋" w:eastAsia="仿宋" w:hAnsi="仿宋"/>
          <w:sz w:val="32"/>
          <w:szCs w:val="32"/>
        </w:rPr>
        <w:t>60.58</w:t>
      </w:r>
      <w:r>
        <w:rPr>
          <w:rFonts w:ascii="仿宋" w:eastAsia="仿宋" w:hAnsi="仿宋" w:hint="eastAsia"/>
          <w:sz w:val="32"/>
          <w:szCs w:val="32"/>
        </w:rPr>
        <w:t>万元，下降</w:t>
      </w:r>
      <w:r>
        <w:rPr>
          <w:rFonts w:ascii="仿宋" w:eastAsia="仿宋" w:hAnsi="仿宋"/>
          <w:sz w:val="32"/>
          <w:szCs w:val="32"/>
        </w:rPr>
        <w:t>20.87%</w:t>
      </w:r>
      <w:r>
        <w:rPr>
          <w:rFonts w:ascii="仿宋" w:eastAsia="仿宋" w:hAnsi="仿宋" w:hint="eastAsia"/>
          <w:sz w:val="32"/>
          <w:szCs w:val="32"/>
        </w:rPr>
        <w:t>。主要变动原因是</w:t>
      </w:r>
      <w:r>
        <w:rPr>
          <w:rFonts w:ascii="仿宋" w:eastAsia="仿宋" w:hAnsi="仿宋"/>
          <w:sz w:val="32"/>
          <w:szCs w:val="32"/>
        </w:rPr>
        <w:t>项目支出减少</w:t>
      </w:r>
      <w:r>
        <w:rPr>
          <w:rFonts w:ascii="仿宋" w:eastAsia="仿宋" w:hAnsi="仿宋" w:hint="eastAsia"/>
          <w:sz w:val="32"/>
          <w:szCs w:val="32"/>
        </w:rPr>
        <w:t>。</w:t>
      </w:r>
    </w:p>
    <w:p>
      <w:pPr>
        <w:pStyle w:val="15"/>
      </w:pPr>
      <w:r>
        <w:drawing>
          <wp:inline distT="0" distB="0" distL="114300" distR="114300">
            <wp:extent cx="4813935" cy="3276600"/>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pPr>
        <w:spacing w:line="600" w:lineRule="exact"/>
        <w:ind w:firstLineChars="200" w:firstLine="640"/>
        <w:jc w:val="left"/>
        <w:rPr>
          <w:rFonts w:ascii="仿宋_GB2312" w:eastAsia="仿宋_GB2312"/>
          <w:sz w:val="32"/>
          <w:szCs w:val="32"/>
        </w:rPr>
      </w:pPr>
    </w:p>
    <w:p>
      <w:pPr>
        <w:pStyle w:val="28"/>
        <w:numPr>
          <w:ilvl w:val="0"/>
          <w:numId w:val="2"/>
        </w:numPr>
        <w:spacing w:line="600" w:lineRule="exact"/>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Pr>
          <w:rFonts w:ascii="仿宋" w:eastAsia="仿宋" w:hAnsi="仿宋"/>
          <w:sz w:val="32"/>
          <w:szCs w:val="32"/>
        </w:rPr>
        <w:t>224.87</w:t>
      </w:r>
      <w:r>
        <w:rPr>
          <w:rFonts w:ascii="仿宋" w:eastAsia="仿宋" w:hAnsi="仿宋" w:hint="eastAsia"/>
          <w:sz w:val="32"/>
          <w:szCs w:val="32"/>
        </w:rPr>
        <w:t>万元，其中：一般公共预算财政拨款收入</w:t>
      </w:r>
      <w:r>
        <w:rPr>
          <w:rFonts w:ascii="仿宋" w:eastAsia="仿宋" w:hAnsi="仿宋"/>
          <w:sz w:val="32"/>
          <w:szCs w:val="32"/>
        </w:rPr>
        <w:t>224.87</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w:t>
      </w:r>
    </w:p>
    <w:p>
      <w:pPr>
        <w:spacing w:line="600" w:lineRule="exact"/>
        <w:ind w:firstLineChars="200" w:firstLine="640"/>
        <w:outlineLvl w:val="1"/>
        <w:rPr>
          <w:rFonts w:ascii="仿宋" w:eastAsia="仿宋" w:hAnsi="仿宋"/>
          <w:sz w:val="32"/>
          <w:szCs w:val="32"/>
        </w:rPr>
      </w:pPr>
    </w:p>
    <w:p>
      <w:pPr>
        <w:pStyle w:val="15"/>
        <w:rPr>
          <w:rFonts w:ascii="仿宋" w:eastAsia="仿宋" w:hAnsi="仿宋"/>
          <w:sz w:val="32"/>
          <w:szCs w:val="32"/>
        </w:rPr>
      </w:pPr>
    </w:p>
    <w:p>
      <w:pPr>
        <w:pStyle w:val="15"/>
        <w:rPr>
          <w:rFonts w:ascii="仿宋" w:eastAsia="仿宋" w:hAnsi="仿宋"/>
          <w:sz w:val="32"/>
          <w:szCs w:val="32"/>
        </w:rPr>
      </w:pPr>
      <w:r>
        <w:rPr>
          <w:rFonts w:ascii="仿宋" w:eastAsia="仿宋" w:hAnsi="仿宋"/>
          <w:sz w:val="32"/>
          <w:szCs w:val="32"/>
        </w:rPr>
        <w:drawing>
          <wp:inline distT="0" distB="0" distL="114300" distR="114300">
            <wp:extent cx="4222750" cy="3277234"/>
            <wp:effectExtent l="0" t="0" r="0" b="0"/>
            <wp:docPr id="2" name="图表 3"/>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w:t>
      </w:r>
    </w:p>
    <w:p>
      <w:pPr>
        <w:spacing w:line="600" w:lineRule="exact"/>
        <w:ind w:firstLineChars="200" w:firstLine="640"/>
        <w:rPr>
          <w:rFonts w:ascii="仿宋_GB2312" w:eastAsia="仿宋_GB2312"/>
          <w:sz w:val="32"/>
          <w:szCs w:val="32"/>
        </w:rPr>
      </w:pPr>
    </w:p>
    <w:p>
      <w:pPr>
        <w:pStyle w:val="28"/>
        <w:numPr>
          <w:ilvl w:val="0"/>
          <w:numId w:val="2"/>
        </w:numPr>
        <w:spacing w:line="600" w:lineRule="exact"/>
        <w:ind w:firstLineChars="0"/>
        <w:outlineLvl w:val="1"/>
        <w:rPr>
          <w:rStyle w:val="2Char"/>
          <w:rFonts w:ascii="黑体" w:eastAsia="黑体" w:hAnsi="黑体"/>
          <w:b w:val="0"/>
        </w:rPr>
      </w:pPr>
      <w:bookmarkStart w:id="23" w:name="_Toc15377207"/>
      <w:bookmarkStart w:id="24"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Pr>
          <w:rFonts w:ascii="仿宋" w:eastAsia="仿宋" w:hAnsi="仿宋"/>
          <w:sz w:val="32"/>
          <w:szCs w:val="32"/>
        </w:rPr>
        <w:t>229.69</w:t>
      </w:r>
      <w:r>
        <w:rPr>
          <w:rFonts w:ascii="仿宋" w:eastAsia="仿宋" w:hAnsi="仿宋" w:hint="eastAsia"/>
          <w:sz w:val="32"/>
          <w:szCs w:val="32"/>
        </w:rPr>
        <w:t>万元，其中：基本支出</w:t>
      </w:r>
      <w:r>
        <w:rPr>
          <w:rFonts w:ascii="仿宋" w:eastAsia="仿宋" w:hAnsi="仿宋"/>
          <w:sz w:val="32"/>
          <w:szCs w:val="32"/>
        </w:rPr>
        <w:t>219.64</w:t>
      </w:r>
      <w:r>
        <w:rPr>
          <w:rFonts w:ascii="仿宋" w:eastAsia="仿宋" w:hAnsi="仿宋" w:hint="eastAsia"/>
          <w:sz w:val="32"/>
          <w:szCs w:val="32"/>
        </w:rPr>
        <w:t>万元，占</w:t>
      </w:r>
      <w:r>
        <w:rPr>
          <w:rFonts w:ascii="仿宋" w:eastAsia="仿宋" w:hAnsi="仿宋"/>
          <w:sz w:val="32"/>
          <w:szCs w:val="32"/>
        </w:rPr>
        <w:t>95.62%</w:t>
      </w:r>
      <w:r>
        <w:rPr>
          <w:rFonts w:ascii="仿宋" w:eastAsia="仿宋" w:hAnsi="仿宋" w:hint="eastAsia"/>
          <w:sz w:val="32"/>
          <w:szCs w:val="32"/>
        </w:rPr>
        <w:t>；项目支出</w:t>
      </w:r>
      <w:r>
        <w:rPr>
          <w:rFonts w:ascii="仿宋" w:eastAsia="仿宋" w:hAnsi="仿宋"/>
          <w:sz w:val="32"/>
          <w:szCs w:val="32"/>
        </w:rPr>
        <w:t>10.05</w:t>
      </w:r>
      <w:r>
        <w:rPr>
          <w:rFonts w:ascii="仿宋" w:eastAsia="仿宋" w:hAnsi="仿宋" w:hint="eastAsia"/>
          <w:sz w:val="32"/>
          <w:szCs w:val="32"/>
        </w:rPr>
        <w:t>万元，占</w:t>
      </w:r>
      <w:r>
        <w:rPr>
          <w:rFonts w:ascii="仿宋" w:eastAsia="仿宋" w:hAnsi="仿宋"/>
          <w:sz w:val="32"/>
          <w:szCs w:val="32"/>
        </w:rPr>
        <w:t>4.38%</w:t>
      </w:r>
      <w:r>
        <w:rPr>
          <w:rFonts w:ascii="仿宋" w:eastAsia="仿宋" w:hAnsi="仿宋" w:hint="eastAsia"/>
          <w:sz w:val="32"/>
          <w:szCs w:val="32"/>
        </w:rPr>
        <w:t>。</w:t>
      </w:r>
    </w:p>
    <w:p>
      <w:pPr>
        <w:spacing w:line="600" w:lineRule="exact"/>
        <w:ind w:firstLine="640"/>
        <w:rPr>
          <w:rFonts w:ascii="仿宋" w:eastAsia="仿宋" w:hAnsi="仿宋"/>
          <w:sz w:val="32"/>
          <w:szCs w:val="32"/>
          <w:shd w:val="pct10" w:color="auto" w:fill="FFFFFF"/>
        </w:rPr>
      </w:pPr>
    </w:p>
    <w:p>
      <w:pPr>
        <w:spacing w:line="600" w:lineRule="exact"/>
        <w:ind w:firstLine="640"/>
        <w:rPr>
          <w:rFonts w:ascii="仿宋" w:eastAsia="仿宋" w:hAnsi="仿宋"/>
          <w:sz w:val="32"/>
          <w:szCs w:val="32"/>
          <w:shd w:val="pct10" w:color="auto" w:fill="FFFFFF"/>
        </w:rPr>
      </w:pPr>
    </w:p>
    <w:p>
      <w:pPr>
        <w:pStyle w:val="15"/>
        <w:rPr>
          <w:rFonts w:ascii="仿宋" w:eastAsia="仿宋" w:hAnsi="仿宋"/>
          <w:sz w:val="32"/>
          <w:szCs w:val="32"/>
          <w:shd w:val="pct10" w:color="auto" w:fill="FFFFFF"/>
        </w:rPr>
      </w:pPr>
    </w:p>
    <w:p>
      <w:pPr>
        <w:pStyle w:val="15"/>
        <w:rPr>
          <w:rFonts w:ascii="仿宋" w:eastAsia="仿宋" w:hAnsi="仿宋"/>
          <w:sz w:val="32"/>
          <w:szCs w:val="32"/>
          <w:shd w:val="pct10" w:color="auto" w:fill="FFFFFF"/>
        </w:rPr>
      </w:pPr>
    </w:p>
    <w:p>
      <w:pPr>
        <w:pStyle w:val="15"/>
        <w:rPr>
          <w:rFonts w:ascii="仿宋" w:eastAsia="仿宋" w:hAnsi="仿宋"/>
          <w:sz w:val="32"/>
          <w:szCs w:val="32"/>
          <w:shd w:val="pct10" w:color="auto" w:fill="FFFFFF"/>
        </w:rPr>
      </w:pPr>
    </w:p>
    <w:p>
      <w:pPr>
        <w:pStyle w:val="15"/>
        <w:rPr>
          <w:rFonts w:ascii="仿宋" w:eastAsia="仿宋" w:hAnsi="仿宋"/>
          <w:sz w:val="32"/>
          <w:szCs w:val="32"/>
          <w:shd w:val="pct10" w:color="auto" w:fill="FFFFFF"/>
        </w:rPr>
      </w:pPr>
    </w:p>
    <w:p>
      <w:pPr>
        <w:spacing w:line="600" w:lineRule="exact"/>
        <w:ind w:firstLine="640"/>
        <w:rPr>
          <w:rFonts w:ascii="仿宋" w:eastAsia="仿宋" w:hAnsi="仿宋"/>
          <w:sz w:val="32"/>
          <w:szCs w:val="32"/>
          <w:shd w:val="pct10" w:color="auto" w:fill="FFFFFF"/>
        </w:rPr>
      </w:pPr>
      <w:r>
        <w:rPr>
          <w:rFonts w:ascii="仿宋" w:eastAsia="仿宋" w:hAnsi="仿宋"/>
          <w:sz w:val="32"/>
          <w:szCs w:val="32"/>
          <w:shd w:val="pct10" w:color="auto" w:fill="FFFFFF"/>
        </w:rPr>
        <w:drawing>
          <wp:anchor distT="0" distB="0" distL="114300" distR="114300" simplePos="0" relativeHeight="27" behindDoc="0" locked="0" layoutInCell="1" hidden="0" allowOverlap="1">
            <wp:simplePos x="0" y="0"/>
            <wp:positionH relativeFrom="column">
              <wp:posOffset>410844</wp:posOffset>
            </wp:positionH>
            <wp:positionV relativeFrom="paragraph">
              <wp:posOffset>-2491105</wp:posOffset>
            </wp:positionV>
            <wp:extent cx="4498975" cy="2790824"/>
            <wp:effectExtent l="0" t="0" r="5" b="42"/>
            <wp:wrapSquare wrapText="bothSides"/>
            <wp:docPr id="3" name="图表 5"/>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p>
    <w:p>
      <w:pPr>
        <w:spacing w:line="600" w:lineRule="exact"/>
        <w:ind w:firstLineChars="200" w:firstLine="640"/>
        <w:rPr>
          <w:rFonts w:ascii="仿宋_GB2312" w:eastAsia="仿宋_GB2312"/>
          <w:sz w:val="32"/>
          <w:szCs w:val="32"/>
        </w:rPr>
      </w:pPr>
    </w:p>
    <w:p>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w:t>
      </w:r>
      <w:r>
        <w:rPr>
          <w:rFonts w:ascii="仿宋" w:eastAsia="仿宋" w:hAnsi="仿宋"/>
          <w:sz w:val="32"/>
          <w:szCs w:val="32"/>
        </w:rPr>
        <w:t>229.69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21年相比，财政拨款收、支总计各减少</w:t>
      </w:r>
      <w:r>
        <w:rPr>
          <w:rFonts w:ascii="仿宋" w:eastAsia="仿宋" w:hAnsi="仿宋"/>
          <w:sz w:val="32"/>
          <w:szCs w:val="32"/>
        </w:rPr>
        <w:t>60.58</w:t>
      </w:r>
      <w:r>
        <w:rPr>
          <w:rFonts w:ascii="仿宋" w:eastAsia="仿宋" w:hAnsi="仿宋" w:hint="eastAsia"/>
          <w:sz w:val="32"/>
          <w:szCs w:val="32"/>
        </w:rPr>
        <w:t>万元，下降</w:t>
      </w:r>
      <w:r>
        <w:rPr>
          <w:rFonts w:ascii="仿宋" w:eastAsia="仿宋" w:hAnsi="仿宋"/>
          <w:sz w:val="32"/>
          <w:szCs w:val="32"/>
        </w:rPr>
        <w:t>20.87%</w:t>
      </w:r>
      <w:r>
        <w:rPr>
          <w:rFonts w:ascii="仿宋" w:eastAsia="仿宋" w:hAnsi="仿宋" w:hint="eastAsia"/>
          <w:sz w:val="32"/>
          <w:szCs w:val="32"/>
        </w:rPr>
        <w:t>。主要变动原因是</w:t>
      </w:r>
      <w:r>
        <w:rPr>
          <w:rFonts w:ascii="仿宋" w:eastAsia="仿宋" w:hAnsi="仿宋"/>
          <w:sz w:val="32"/>
          <w:szCs w:val="32"/>
        </w:rPr>
        <w:t>项目支出减少。</w:t>
      </w:r>
    </w:p>
    <w:p>
      <w:pPr>
        <w:pStyle w:val="15"/>
        <w:rPr>
          <w:rFonts w:ascii="仿宋" w:eastAsia="仿宋" w:hAnsi="仿宋"/>
          <w:sz w:val="32"/>
          <w:szCs w:val="32"/>
        </w:rPr>
      </w:pPr>
      <w:r>
        <w:rPr>
          <w:rFonts w:ascii="仿宋" w:eastAsia="仿宋" w:hAnsi="仿宋"/>
          <w:sz w:val="32"/>
          <w:szCs w:val="32"/>
        </w:rPr>
        <w:drawing>
          <wp:inline distT="0" distB="0" distL="114300" distR="114300">
            <wp:extent cx="4908550" cy="3505835"/>
            <wp:effectExtent l="0" t="0" r="0" b="0"/>
            <wp:docPr id="4" name="图表 7"/>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pPr>
        <w:spacing w:line="600" w:lineRule="exact"/>
        <w:ind w:firstLine="640"/>
        <w:rPr>
          <w:rFonts w:ascii="仿宋" w:eastAsia="仿宋" w:hAnsi="仿宋"/>
          <w:b/>
          <w:sz w:val="32"/>
          <w:szCs w:val="32"/>
        </w:rPr>
      </w:pPr>
    </w:p>
    <w:p>
      <w:pPr>
        <w:spacing w:line="600" w:lineRule="exact"/>
        <w:ind w:firstLineChars="200" w:firstLine="640"/>
        <w:outlineLvl w:val="1"/>
        <w:rPr>
          <w:rStyle w:val="2Char"/>
          <w:rFonts w:ascii="黑体" w:eastAsia="黑体" w:hAnsi="黑体"/>
          <w:b w:val="0"/>
        </w:rPr>
      </w:pPr>
      <w:bookmarkStart w:id="27" w:name="_Toc15377209"/>
      <w:bookmarkStart w:id="28"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pPr>
        <w:spacing w:line="600" w:lineRule="exact"/>
        <w:ind w:firstLineChars="200" w:firstLine="640"/>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229.69</w:t>
      </w:r>
      <w:r>
        <w:rPr>
          <w:rFonts w:ascii="仿宋" w:eastAsia="仿宋" w:hAnsi="仿宋" w:hint="eastAsia"/>
          <w:sz w:val="32"/>
          <w:szCs w:val="32"/>
        </w:rPr>
        <w:t>万元，占本年支出合计的</w:t>
      </w:r>
      <w:r>
        <w:rPr>
          <w:rFonts w:ascii="仿宋" w:eastAsia="仿宋" w:hAnsi="仿宋"/>
          <w:sz w:val="32"/>
          <w:szCs w:val="32"/>
        </w:rPr>
        <w:t>100%</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w:t>
      </w:r>
      <w:r>
        <w:rPr>
          <w:rFonts w:ascii="仿宋" w:eastAsia="仿宋" w:hAnsi="仿宋"/>
          <w:sz w:val="32"/>
          <w:szCs w:val="32"/>
        </w:rPr>
        <w:t>60.58</w:t>
      </w:r>
      <w:r>
        <w:rPr>
          <w:rFonts w:ascii="仿宋" w:eastAsia="仿宋" w:hAnsi="仿宋" w:hint="eastAsia"/>
          <w:sz w:val="32"/>
          <w:szCs w:val="32"/>
        </w:rPr>
        <w:t>万元，下降</w:t>
      </w:r>
      <w:r>
        <w:rPr>
          <w:rFonts w:ascii="仿宋" w:eastAsia="仿宋" w:hAnsi="仿宋"/>
          <w:sz w:val="32"/>
          <w:szCs w:val="32"/>
        </w:rPr>
        <w:t>20.87%</w:t>
      </w:r>
      <w:r>
        <w:rPr>
          <w:rFonts w:ascii="仿宋" w:eastAsia="仿宋" w:hAnsi="仿宋" w:hint="eastAsia"/>
          <w:sz w:val="32"/>
          <w:szCs w:val="32"/>
        </w:rPr>
        <w:t>。主要变动原因是</w:t>
      </w:r>
      <w:r>
        <w:rPr>
          <w:rFonts w:ascii="仿宋" w:eastAsia="仿宋" w:hAnsi="仿宋"/>
          <w:sz w:val="32"/>
          <w:szCs w:val="32"/>
        </w:rPr>
        <w:t>项目支出减少。</w:t>
      </w:r>
    </w:p>
    <w:p>
      <w:pPr>
        <w:pStyle w:val="15"/>
        <w:rPr>
          <w:rFonts w:ascii="仿宋" w:eastAsia="仿宋" w:hAnsi="仿宋"/>
          <w:sz w:val="32"/>
          <w:szCs w:val="32"/>
        </w:rPr>
      </w:pPr>
      <w:r>
        <w:rPr>
          <w:rFonts w:ascii="仿宋" w:eastAsia="仿宋" w:hAnsi="仿宋"/>
          <w:sz w:val="32"/>
          <w:szCs w:val="32"/>
        </w:rPr>
        <w:drawing>
          <wp:inline distT="0" distB="0" distL="114300" distR="114300">
            <wp:extent cx="5079998" cy="3810000"/>
            <wp:effectExtent l="0" t="0" r="0" b="0"/>
            <wp:docPr id="5" name="图表 8"/>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pPr>
        <w:spacing w:line="600" w:lineRule="exact"/>
        <w:ind w:firstLineChars="200" w:firstLine="640"/>
        <w:rPr>
          <w:rFonts w:ascii="仿宋" w:eastAsia="仿宋" w:hAnsi="仿宋"/>
          <w:sz w:val="32"/>
          <w:szCs w:val="32"/>
        </w:rPr>
      </w:pPr>
    </w:p>
    <w:p>
      <w:pPr>
        <w:spacing w:line="600" w:lineRule="exact"/>
        <w:ind w:firstLineChars="200" w:firstLine="640"/>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229.69</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sz w:val="32"/>
          <w:szCs w:val="32"/>
        </w:rPr>
        <w:t>11.15</w:t>
      </w:r>
      <w:r>
        <w:rPr>
          <w:rFonts w:ascii="仿宋" w:eastAsia="仿宋" w:hAnsi="仿宋" w:hint="eastAsia"/>
          <w:sz w:val="32"/>
          <w:szCs w:val="32"/>
        </w:rPr>
        <w:t>万元，占</w:t>
      </w:r>
      <w:r>
        <w:rPr>
          <w:rFonts w:ascii="仿宋" w:eastAsia="仿宋" w:hAnsi="仿宋"/>
          <w:sz w:val="32"/>
          <w:szCs w:val="32"/>
        </w:rPr>
        <w:t>4.85%；</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sz w:val="32"/>
          <w:szCs w:val="32"/>
        </w:rPr>
        <w:t>156.51</w:t>
      </w:r>
      <w:r>
        <w:rPr>
          <w:rFonts w:ascii="仿宋" w:eastAsia="仿宋" w:hAnsi="仿宋" w:hint="eastAsia"/>
          <w:sz w:val="32"/>
          <w:szCs w:val="32"/>
        </w:rPr>
        <w:t>万元，占</w:t>
      </w:r>
      <w:r>
        <w:rPr>
          <w:rFonts w:ascii="仿宋" w:eastAsia="仿宋" w:hAnsi="仿宋"/>
          <w:sz w:val="32"/>
          <w:szCs w:val="32"/>
        </w:rPr>
        <w:t>68.14%</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sz w:val="32"/>
          <w:szCs w:val="32"/>
        </w:rPr>
        <w:t>47.73</w:t>
      </w:r>
      <w:r>
        <w:rPr>
          <w:rFonts w:ascii="仿宋" w:eastAsia="仿宋" w:hAnsi="仿宋" w:hint="eastAsia"/>
          <w:sz w:val="32"/>
          <w:szCs w:val="32"/>
        </w:rPr>
        <w:t>万元，占</w:t>
      </w:r>
      <w:r>
        <w:rPr>
          <w:rFonts w:ascii="仿宋" w:eastAsia="仿宋" w:hAnsi="仿宋"/>
          <w:sz w:val="32"/>
          <w:szCs w:val="32"/>
        </w:rPr>
        <w:t>20.78%</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sz w:val="32"/>
          <w:szCs w:val="32"/>
        </w:rPr>
        <w:t>14.30</w:t>
      </w:r>
      <w:r>
        <w:rPr>
          <w:rFonts w:ascii="仿宋" w:eastAsia="仿宋" w:hAnsi="仿宋" w:hint="eastAsia"/>
          <w:sz w:val="32"/>
          <w:szCs w:val="32"/>
        </w:rPr>
        <w:t>万元，占</w:t>
      </w:r>
      <w:r>
        <w:rPr>
          <w:rFonts w:ascii="仿宋" w:eastAsia="仿宋" w:hAnsi="仿宋"/>
          <w:sz w:val="32"/>
          <w:szCs w:val="32"/>
        </w:rPr>
        <w:t>6.23%</w:t>
      </w:r>
      <w:r>
        <w:rPr>
          <w:rFonts w:ascii="仿宋" w:eastAsia="仿宋" w:hAnsi="仿宋" w:hint="eastAsia"/>
          <w:sz w:val="32"/>
          <w:szCs w:val="32"/>
        </w:rPr>
        <w:t>。</w:t>
      </w:r>
    </w:p>
    <w:p>
      <w:pPr>
        <w:spacing w:line="600" w:lineRule="exact"/>
        <w:ind w:firstLine="640"/>
        <w:rPr>
          <w:rFonts w:ascii="仿宋" w:eastAsia="仿宋" w:hAnsi="仿宋"/>
          <w:sz w:val="32"/>
          <w:szCs w:val="32"/>
        </w:rPr>
      </w:pPr>
    </w:p>
    <w:p>
      <w:pPr>
        <w:pStyle w:val="15"/>
      </w:pPr>
    </w:p>
    <w:p>
      <w:pPr>
        <w:pStyle w:val="15"/>
      </w:pPr>
    </w:p>
    <w:p>
      <w:pPr>
        <w:pStyle w:val="15"/>
      </w:pPr>
      <w:r>
        <w:drawing>
          <wp:inline distT="0" distB="0" distL="114300" distR="114300">
            <wp:extent cx="5079998" cy="3810000"/>
            <wp:effectExtent l="0" t="0" r="0" b="0"/>
            <wp:docPr id="6" name="图表 9"/>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pPr>
        <w:spacing w:line="600" w:lineRule="exact"/>
        <w:ind w:firstLineChars="200" w:firstLine="640"/>
        <w:rPr>
          <w:rFonts w:ascii="仿宋" w:eastAsia="仿宋" w:hAnsi="仿宋"/>
          <w:sz w:val="32"/>
          <w:szCs w:val="32"/>
        </w:rPr>
      </w:pPr>
    </w:p>
    <w:p>
      <w:pPr>
        <w:spacing w:line="600" w:lineRule="exact"/>
        <w:ind w:firstLineChars="200" w:firstLine="640"/>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pPr>
        <w:spacing w:line="600" w:lineRule="exact"/>
        <w:ind w:firstLineChars="200" w:firstLine="640"/>
        <w:outlineLvl w:val="2"/>
        <w:rPr>
          <w:rFonts w:ascii="仿宋" w:eastAsia="仿宋" w:hAnsi="仿宋"/>
          <w:sz w:val="32"/>
          <w:szCs w:val="32"/>
        </w:rPr>
      </w:pPr>
      <w:bookmarkStart w:id="32" w:name="_Toc15377444"/>
      <w:bookmarkStart w:id="33" w:name="_Toc15378460"/>
      <w:bookmarkStart w:id="34" w:name="_Toc15377213"/>
      <w:r>
        <w:rPr>
          <w:rFonts w:ascii="仿宋" w:eastAsia="仿宋" w:hAnsi="仿宋" w:hint="eastAsia"/>
          <w:b/>
          <w:sz w:val="32"/>
          <w:szCs w:val="32"/>
        </w:rPr>
        <w:t>2022年一般公共预算支出决算数为</w:t>
      </w:r>
      <w:r>
        <w:rPr>
          <w:rFonts w:ascii="仿宋" w:eastAsia="仿宋" w:hAnsi="仿宋"/>
          <w:b/>
          <w:sz w:val="32"/>
          <w:szCs w:val="32"/>
        </w:rPr>
        <w:t>229.69</w:t>
      </w:r>
      <w:r>
        <w:rPr>
          <w:rFonts w:ascii="仿宋" w:eastAsia="仿宋" w:hAnsi="仿宋" w:hint="eastAsia"/>
          <w:sz w:val="32"/>
          <w:szCs w:val="32"/>
        </w:rPr>
        <w:t>，</w:t>
      </w:r>
      <w:r>
        <w:rPr>
          <w:rStyle w:val="22"/>
          <w:rFonts w:ascii="仿宋" w:eastAsia="仿宋" w:hAnsi="仿宋" w:hint="eastAsia"/>
          <w:bCs/>
          <w:sz w:val="32"/>
          <w:szCs w:val="32"/>
        </w:rPr>
        <w:t>完成预算</w:t>
      </w:r>
      <w:r>
        <w:rPr>
          <w:rStyle w:val="22"/>
          <w:rFonts w:ascii="仿宋" w:eastAsia="仿宋" w:hAnsi="仿宋"/>
          <w:bCs/>
          <w:sz w:val="32"/>
          <w:szCs w:val="32"/>
        </w:rPr>
        <w:t>100%</w:t>
      </w:r>
      <w:r>
        <w:rPr>
          <w:rStyle w:val="22"/>
          <w:rFonts w:ascii="仿宋" w:eastAsia="仿宋" w:hAnsi="仿宋" w:hint="eastAsia"/>
          <w:bCs/>
          <w:sz w:val="32"/>
          <w:szCs w:val="32"/>
        </w:rPr>
        <w:t>。其中：</w:t>
      </w:r>
      <w:bookmarkEnd w:id="32"/>
      <w:bookmarkEnd w:id="33"/>
      <w:bookmarkEnd w:id="34"/>
    </w:p>
    <w:p>
      <w:pPr>
        <w:spacing w:line="600" w:lineRule="exact"/>
        <w:ind w:firstLineChars="200" w:firstLine="640"/>
        <w:rPr>
          <w:rFonts w:ascii="仿宋" w:eastAsia="仿宋" w:hAnsi="仿宋"/>
          <w:b/>
          <w:sz w:val="32"/>
          <w:szCs w:val="32"/>
        </w:rPr>
      </w:pPr>
      <w:r>
        <w:rPr>
          <w:rStyle w:val="22"/>
          <w:rFonts w:ascii="仿宋" w:eastAsia="仿宋" w:hAnsi="仿宋"/>
          <w:bCs/>
          <w:sz w:val="32"/>
          <w:szCs w:val="32"/>
        </w:rPr>
        <w:t>1.</w:t>
      </w:r>
      <w:r>
        <w:rPr>
          <w:rStyle w:val="22"/>
          <w:rFonts w:ascii="仿宋" w:eastAsia="仿宋" w:hAnsi="仿宋" w:hint="eastAsia"/>
          <w:bCs/>
          <w:sz w:val="32"/>
          <w:szCs w:val="32"/>
        </w:rPr>
        <w:t>一般公共服务（类）党委办公厅（室）及相关机构事务（款）行政运行（项）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11.15</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p>
    <w:p>
      <w:pPr>
        <w:spacing w:line="600" w:lineRule="exact"/>
        <w:ind w:firstLineChars="200" w:firstLine="640"/>
        <w:rPr>
          <w:rStyle w:val="22"/>
          <w:rFonts w:ascii="仿宋" w:eastAsia="仿宋" w:hAnsi="仿宋" w:hint="eastAsia"/>
          <w:b w:val="0"/>
          <w:bCs/>
          <w:sz w:val="32"/>
          <w:szCs w:val="32"/>
        </w:rPr>
      </w:pPr>
      <w:r>
        <w:rPr>
          <w:rStyle w:val="22"/>
          <w:rFonts w:ascii="仿宋" w:eastAsia="仿宋" w:hAnsi="仿宋"/>
          <w:bCs/>
          <w:sz w:val="32"/>
          <w:szCs w:val="32"/>
        </w:rPr>
        <w:t>2.</w:t>
      </w:r>
      <w:r>
        <w:rPr>
          <w:rStyle w:val="22"/>
          <w:rFonts w:ascii="仿宋" w:eastAsia="仿宋" w:hAnsi="仿宋" w:hint="eastAsia"/>
          <w:bCs/>
          <w:sz w:val="32"/>
          <w:szCs w:val="32"/>
        </w:rPr>
        <w:t>科学技术</w:t>
      </w:r>
      <w:r>
        <w:rPr>
          <w:rStyle w:val="22"/>
          <w:rFonts w:ascii="仿宋" w:eastAsia="仿宋" w:hAnsi="仿宋"/>
          <w:bCs/>
          <w:sz w:val="32"/>
          <w:szCs w:val="32"/>
        </w:rPr>
        <w:t>支出</w:t>
      </w:r>
      <w:r>
        <w:rPr>
          <w:rStyle w:val="22"/>
          <w:rFonts w:ascii="仿宋" w:eastAsia="仿宋" w:hAnsi="仿宋" w:hint="eastAsia"/>
          <w:bCs/>
          <w:sz w:val="32"/>
          <w:szCs w:val="32"/>
        </w:rPr>
        <w:t>（类）科学技术管理事务（款）行政运行（项）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146.51</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p>
    <w:p>
      <w:pPr>
        <w:spacing w:line="600" w:lineRule="exact"/>
        <w:ind w:firstLineChars="200" w:firstLine="640"/>
      </w:pPr>
      <w:r>
        <w:rPr>
          <w:rStyle w:val="22"/>
          <w:rFonts w:ascii="仿宋" w:eastAsia="仿宋" w:hAnsi="仿宋"/>
          <w:bCs/>
          <w:sz w:val="32"/>
          <w:szCs w:val="32"/>
        </w:rPr>
        <w:t>3.</w:t>
      </w:r>
      <w:r>
        <w:rPr>
          <w:rStyle w:val="22"/>
          <w:rFonts w:ascii="仿宋" w:eastAsia="仿宋" w:hAnsi="仿宋" w:hint="eastAsia"/>
          <w:bCs/>
          <w:sz w:val="32"/>
          <w:szCs w:val="32"/>
        </w:rPr>
        <w:t>科学技术</w:t>
      </w:r>
      <w:r>
        <w:rPr>
          <w:rStyle w:val="22"/>
          <w:rFonts w:ascii="仿宋" w:eastAsia="仿宋" w:hAnsi="仿宋"/>
          <w:bCs/>
          <w:sz w:val="32"/>
          <w:szCs w:val="32"/>
        </w:rPr>
        <w:t>支出</w:t>
      </w:r>
      <w:r>
        <w:rPr>
          <w:rStyle w:val="22"/>
          <w:rFonts w:ascii="仿宋" w:eastAsia="仿宋" w:hAnsi="仿宋" w:hint="eastAsia"/>
          <w:bCs/>
          <w:sz w:val="32"/>
          <w:szCs w:val="32"/>
        </w:rPr>
        <w:t>（类）社会科学（款）其他社会科学支出（项）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10</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p>
    <w:p>
      <w:pPr>
        <w:spacing w:line="600" w:lineRule="exact"/>
        <w:ind w:firstLineChars="200" w:firstLine="640"/>
        <w:rPr>
          <w:rStyle w:val="22"/>
          <w:rFonts w:ascii="仿宋" w:eastAsia="仿宋" w:hAnsi="仿宋" w:hint="eastAsia"/>
          <w:b w:val="0"/>
          <w:bCs/>
          <w:sz w:val="32"/>
          <w:szCs w:val="32"/>
        </w:rPr>
      </w:pPr>
      <w:r>
        <w:rPr>
          <w:rStyle w:val="22"/>
          <w:rFonts w:ascii="仿宋" w:eastAsia="仿宋" w:hAnsi="仿宋"/>
          <w:bCs/>
          <w:sz w:val="32"/>
          <w:szCs w:val="32"/>
        </w:rPr>
        <w:t>4.</w:t>
      </w:r>
      <w:r>
        <w:rPr>
          <w:rStyle w:val="22"/>
          <w:rFonts w:ascii="仿宋" w:eastAsia="仿宋" w:hAnsi="仿宋" w:hint="eastAsia"/>
          <w:bCs/>
          <w:sz w:val="32"/>
          <w:szCs w:val="32"/>
        </w:rPr>
        <w:t>社会保障和就业（类）行政事业单位养老支出（款）行政单位离退休（项）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35.7</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p>
    <w:p>
      <w:pPr>
        <w:spacing w:line="600" w:lineRule="exact"/>
        <w:ind w:firstLineChars="200" w:firstLine="640"/>
      </w:pPr>
      <w:r>
        <w:rPr>
          <w:rStyle w:val="22"/>
          <w:rFonts w:ascii="仿宋" w:eastAsia="仿宋" w:hAnsi="仿宋"/>
          <w:bCs/>
          <w:sz w:val="32"/>
          <w:szCs w:val="32"/>
        </w:rPr>
        <w:t>5.</w:t>
      </w:r>
      <w:r>
        <w:rPr>
          <w:rStyle w:val="22"/>
          <w:rFonts w:ascii="仿宋" w:eastAsia="仿宋" w:hAnsi="仿宋" w:hint="eastAsia"/>
          <w:bCs/>
          <w:sz w:val="32"/>
          <w:szCs w:val="32"/>
        </w:rPr>
        <w:t>社会保障和就业（类）行政事业单位养老支出（款）机关事业单位基本养老保险缴费支出（项）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11.45</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p>
    <w:p>
      <w:pPr>
        <w:spacing w:line="600" w:lineRule="exact"/>
        <w:ind w:firstLineChars="200" w:firstLine="640"/>
        <w:rPr>
          <w:rStyle w:val="22"/>
          <w:rFonts w:ascii="仿宋" w:eastAsia="仿宋" w:hAnsi="仿宋" w:hint="eastAsia"/>
          <w:b w:val="0"/>
          <w:bCs/>
          <w:sz w:val="32"/>
          <w:szCs w:val="32"/>
        </w:rPr>
      </w:pPr>
      <w:r>
        <w:rPr>
          <w:rStyle w:val="22"/>
          <w:rFonts w:ascii="仿宋" w:eastAsia="仿宋" w:hAnsi="仿宋"/>
          <w:bCs/>
          <w:sz w:val="32"/>
          <w:szCs w:val="32"/>
        </w:rPr>
        <w:t>6.</w:t>
      </w:r>
      <w:r>
        <w:rPr>
          <w:rStyle w:val="22"/>
          <w:rFonts w:ascii="仿宋" w:eastAsia="仿宋" w:hAnsi="仿宋" w:hint="eastAsia"/>
          <w:bCs/>
          <w:sz w:val="32"/>
          <w:szCs w:val="32"/>
        </w:rPr>
        <w:t>社会保障和就业（类）</w:t>
      </w:r>
      <w:r>
        <w:rPr>
          <w:rStyle w:val="22"/>
          <w:rFonts w:ascii="仿宋" w:eastAsia="仿宋" w:hAnsi="仿宋"/>
          <w:bCs/>
          <w:sz w:val="32"/>
          <w:szCs w:val="32"/>
        </w:rPr>
        <w:t>抚恤</w:t>
      </w:r>
      <w:r>
        <w:rPr>
          <w:rStyle w:val="22"/>
          <w:rFonts w:ascii="仿宋" w:eastAsia="仿宋" w:hAnsi="仿宋" w:hint="eastAsia"/>
          <w:bCs/>
          <w:sz w:val="32"/>
          <w:szCs w:val="32"/>
        </w:rPr>
        <w:t>（款）</w:t>
      </w:r>
      <w:r>
        <w:rPr>
          <w:rStyle w:val="22"/>
          <w:rFonts w:ascii="仿宋" w:eastAsia="仿宋" w:hAnsi="仿宋"/>
          <w:bCs/>
          <w:sz w:val="32"/>
          <w:szCs w:val="32"/>
        </w:rPr>
        <w:t>死亡抚恤</w:t>
      </w:r>
      <w:r>
        <w:rPr>
          <w:rStyle w:val="22"/>
          <w:rFonts w:ascii="仿宋" w:eastAsia="仿宋" w:hAnsi="仿宋" w:hint="eastAsia"/>
          <w:bCs/>
          <w:sz w:val="32"/>
          <w:szCs w:val="32"/>
        </w:rPr>
        <w:t>（项）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0.53</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p>
    <w:p>
      <w:pPr>
        <w:spacing w:line="600" w:lineRule="exact"/>
        <w:ind w:firstLineChars="200" w:firstLine="640"/>
        <w:rPr>
          <w:rStyle w:val="22"/>
          <w:rFonts w:ascii="仿宋" w:eastAsia="仿宋" w:hAnsi="仿宋" w:hint="eastAsia"/>
          <w:b w:val="0"/>
          <w:bCs/>
          <w:sz w:val="32"/>
          <w:szCs w:val="32"/>
        </w:rPr>
      </w:pPr>
      <w:r>
        <w:rPr>
          <w:rStyle w:val="22"/>
          <w:rFonts w:ascii="仿宋" w:eastAsia="仿宋" w:hAnsi="仿宋"/>
          <w:bCs/>
          <w:sz w:val="32"/>
          <w:szCs w:val="32"/>
        </w:rPr>
        <w:t>7.</w:t>
      </w:r>
      <w:r>
        <w:rPr>
          <w:rStyle w:val="22"/>
          <w:rFonts w:ascii="仿宋" w:eastAsia="仿宋" w:hAnsi="仿宋" w:hint="eastAsia"/>
          <w:bCs/>
          <w:sz w:val="32"/>
          <w:szCs w:val="32"/>
        </w:rPr>
        <w:t>社会保障和就业（类）</w:t>
      </w:r>
      <w:r>
        <w:rPr>
          <w:rStyle w:val="22"/>
          <w:rFonts w:ascii="仿宋" w:eastAsia="仿宋" w:hAnsi="仿宋"/>
          <w:bCs/>
          <w:sz w:val="32"/>
          <w:szCs w:val="32"/>
        </w:rPr>
        <w:t>社会福利</w:t>
      </w:r>
      <w:r>
        <w:rPr>
          <w:rStyle w:val="22"/>
          <w:rFonts w:ascii="仿宋" w:eastAsia="仿宋" w:hAnsi="仿宋" w:hint="eastAsia"/>
          <w:bCs/>
          <w:sz w:val="32"/>
          <w:szCs w:val="32"/>
        </w:rPr>
        <w:t>（款）</w:t>
      </w:r>
      <w:r>
        <w:rPr>
          <w:rStyle w:val="22"/>
          <w:rFonts w:ascii="仿宋" w:eastAsia="仿宋" w:hAnsi="仿宋"/>
          <w:bCs/>
          <w:sz w:val="32"/>
          <w:szCs w:val="32"/>
        </w:rPr>
        <w:t>儿童福利</w:t>
      </w:r>
      <w:r>
        <w:rPr>
          <w:rStyle w:val="22"/>
          <w:rFonts w:ascii="仿宋" w:eastAsia="仿宋" w:hAnsi="仿宋" w:hint="eastAsia"/>
          <w:bCs/>
          <w:sz w:val="32"/>
          <w:szCs w:val="32"/>
        </w:rPr>
        <w:t>（项）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0.05</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p>
    <w:p>
      <w:pPr>
        <w:spacing w:line="600" w:lineRule="exact"/>
        <w:ind w:firstLineChars="200" w:firstLine="640"/>
        <w:rPr>
          <w:rStyle w:val="22"/>
          <w:rFonts w:ascii="仿宋" w:eastAsia="仿宋" w:hAnsi="仿宋" w:hint="eastAsia"/>
          <w:b w:val="0"/>
          <w:bCs/>
          <w:sz w:val="32"/>
          <w:szCs w:val="32"/>
        </w:rPr>
      </w:pPr>
      <w:r>
        <w:rPr>
          <w:rStyle w:val="22"/>
          <w:rFonts w:ascii="仿宋" w:eastAsia="仿宋" w:hAnsi="仿宋"/>
          <w:bCs/>
          <w:sz w:val="32"/>
          <w:szCs w:val="32"/>
        </w:rPr>
        <w:t>8.</w:t>
      </w:r>
      <w:r>
        <w:rPr>
          <w:rStyle w:val="22"/>
          <w:rFonts w:ascii="仿宋" w:eastAsia="仿宋" w:hAnsi="仿宋" w:hint="eastAsia"/>
          <w:bCs/>
          <w:sz w:val="32"/>
          <w:szCs w:val="32"/>
        </w:rPr>
        <w:t>住房保障支出（类）</w:t>
      </w:r>
      <w:r>
        <w:rPr>
          <w:rStyle w:val="22"/>
          <w:rFonts w:ascii="仿宋" w:eastAsia="仿宋" w:hAnsi="仿宋"/>
          <w:bCs/>
          <w:sz w:val="32"/>
          <w:szCs w:val="32"/>
        </w:rPr>
        <w:t>住房改革支出</w:t>
      </w:r>
      <w:r>
        <w:rPr>
          <w:rStyle w:val="22"/>
          <w:rFonts w:ascii="仿宋" w:eastAsia="仿宋" w:hAnsi="仿宋" w:hint="eastAsia"/>
          <w:bCs/>
          <w:sz w:val="32"/>
          <w:szCs w:val="32"/>
        </w:rPr>
        <w:t>（款）</w:t>
      </w:r>
      <w:r>
        <w:rPr>
          <w:rStyle w:val="22"/>
          <w:rFonts w:ascii="仿宋" w:eastAsia="仿宋" w:hAnsi="仿宋"/>
          <w:bCs/>
          <w:sz w:val="32"/>
          <w:szCs w:val="32"/>
        </w:rPr>
        <w:t>住房公积金</w:t>
      </w:r>
      <w:r>
        <w:rPr>
          <w:rStyle w:val="22"/>
          <w:rFonts w:ascii="仿宋" w:eastAsia="仿宋" w:hAnsi="仿宋" w:hint="eastAsia"/>
          <w:bCs/>
          <w:sz w:val="32"/>
          <w:szCs w:val="32"/>
        </w:rPr>
        <w:t>（项）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14.30</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p>
    <w:p>
      <w:pPr>
        <w:spacing w:line="600" w:lineRule="exact"/>
        <w:ind w:firstLine="640"/>
        <w:rPr>
          <w:rFonts w:ascii="仿宋" w:eastAsia="仿宋" w:hAnsi="仿宋"/>
          <w:b/>
          <w:sz w:val="32"/>
          <w:szCs w:val="32"/>
        </w:rPr>
      </w:pPr>
    </w:p>
    <w:p>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Pr>
          <w:rFonts w:ascii="仿宋" w:eastAsia="仿宋" w:hAnsi="仿宋"/>
          <w:sz w:val="32"/>
          <w:szCs w:val="32"/>
        </w:rPr>
        <w:t>219.64</w:t>
      </w:r>
      <w:r>
        <w:rPr>
          <w:rFonts w:ascii="仿宋" w:eastAsia="仿宋" w:hAnsi="仿宋" w:hint="eastAsia"/>
          <w:sz w:val="32"/>
          <w:szCs w:val="32"/>
        </w:rPr>
        <w:t>万元，其中：</w:t>
      </w:r>
    </w:p>
    <w:p>
      <w:pPr>
        <w:spacing w:line="600" w:lineRule="exact"/>
        <w:ind w:firstLine="645"/>
        <w:rPr>
          <w:rFonts w:ascii="仿宋" w:eastAsia="仿宋" w:hAnsi="仿宋" w:hint="eastAsia"/>
          <w:sz w:val="32"/>
          <w:szCs w:val="32"/>
        </w:rPr>
      </w:pPr>
      <w:r>
        <w:rPr>
          <w:rFonts w:ascii="仿宋" w:eastAsia="仿宋" w:hAnsi="仿宋" w:hint="eastAsia"/>
          <w:sz w:val="32"/>
          <w:szCs w:val="32"/>
        </w:rPr>
        <w:t>人员经费</w:t>
      </w:r>
      <w:r>
        <w:rPr>
          <w:rFonts w:ascii="仿宋" w:eastAsia="仿宋" w:hAnsi="仿宋"/>
          <w:sz w:val="32"/>
          <w:szCs w:val="32"/>
        </w:rPr>
        <w:t>202.38</w:t>
      </w:r>
      <w:r>
        <w:rPr>
          <w:rFonts w:ascii="仿宋" w:eastAsia="仿宋" w:hAnsi="仿宋" w:hint="eastAsia"/>
          <w:sz w:val="32"/>
          <w:szCs w:val="32"/>
        </w:rPr>
        <w:t>万元，主要包括：基本工资、津贴补贴、奖金、机关事业单位基本养老保险缴费、职工基本医疗保险缴费、公务员医疗补助缴费、其他社会保障缴费、住房公积金、其他工资福利支出、抚恤金、生活补助、医疗费补助等。</w:t>
      </w:r>
      <w:r>
        <w:rPr>
          <w:rFonts w:ascii="仿宋" w:eastAsia="仿宋" w:hAnsi="仿宋"/>
          <w:sz w:val="32"/>
          <w:szCs w:val="32"/>
        </w:rPr>
        <w:br/>
        <w:t xml:space="preserve">    </w:t>
      </w:r>
      <w:r>
        <w:rPr>
          <w:rFonts w:ascii="仿宋" w:eastAsia="仿宋" w:hAnsi="仿宋" w:hint="eastAsia"/>
          <w:sz w:val="32"/>
          <w:szCs w:val="32"/>
        </w:rPr>
        <w:t>公用经费</w:t>
      </w:r>
      <w:r>
        <w:rPr>
          <w:rFonts w:ascii="仿宋" w:eastAsia="仿宋" w:hAnsi="仿宋"/>
          <w:sz w:val="32"/>
          <w:szCs w:val="32"/>
        </w:rPr>
        <w:t>17.26</w:t>
      </w:r>
      <w:r>
        <w:rPr>
          <w:rFonts w:ascii="仿宋" w:eastAsia="仿宋" w:hAnsi="仿宋" w:hint="eastAsia"/>
          <w:sz w:val="32"/>
          <w:szCs w:val="32"/>
        </w:rPr>
        <w:t>万元，主要包括：办公费、邮电费、差旅费、工会经费、福利费、其他交通费、其他商品和服务支出等。</w:t>
      </w:r>
    </w:p>
    <w:p>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Pr>
          <w:rFonts w:ascii="仿宋" w:eastAsia="仿宋" w:hAnsi="仿宋"/>
          <w:sz w:val="32"/>
          <w:szCs w:val="32"/>
        </w:rPr>
        <w:t>0</w:t>
      </w:r>
      <w:r>
        <w:rPr>
          <w:rFonts w:ascii="仿宋" w:eastAsia="仿宋" w:hAnsi="仿宋" w:hint="eastAsia"/>
          <w:sz w:val="32"/>
          <w:szCs w:val="32"/>
        </w:rPr>
        <w:t>万元，完成预算</w:t>
      </w:r>
      <w:r>
        <w:rPr>
          <w:rFonts w:ascii="仿宋" w:eastAsia="仿宋" w:hAnsi="仿宋"/>
          <w:sz w:val="32"/>
          <w:szCs w:val="32"/>
        </w:rPr>
        <w:t>0%</w:t>
      </w:r>
      <w:r>
        <w:rPr>
          <w:rFonts w:ascii="仿宋" w:eastAsia="仿宋" w:hAnsi="仿宋" w:hint="eastAsia"/>
          <w:sz w:val="32"/>
          <w:szCs w:val="32"/>
        </w:rPr>
        <w:t>，较上年减少</w:t>
      </w:r>
      <w:r>
        <w:rPr>
          <w:rFonts w:ascii="仿宋" w:eastAsia="仿宋" w:hAnsi="仿宋"/>
          <w:sz w:val="32"/>
          <w:szCs w:val="32"/>
        </w:rPr>
        <w:t>0.27</w:t>
      </w:r>
      <w:r>
        <w:rPr>
          <w:rFonts w:ascii="仿宋" w:eastAsia="仿宋" w:hAnsi="仿宋" w:hint="eastAsia"/>
          <w:sz w:val="32"/>
          <w:szCs w:val="32"/>
        </w:rPr>
        <w:t>万元，下降</w:t>
      </w:r>
      <w:r>
        <w:rPr>
          <w:rFonts w:ascii="仿宋" w:eastAsia="仿宋" w:hAnsi="仿宋"/>
          <w:sz w:val="32"/>
          <w:szCs w:val="32"/>
        </w:rPr>
        <w:t>100</w:t>
      </w:r>
      <w:r>
        <w:rPr>
          <w:rFonts w:ascii="仿宋" w:eastAsia="仿宋" w:hAnsi="仿宋" w:hint="eastAsia"/>
          <w:sz w:val="32"/>
          <w:szCs w:val="32"/>
        </w:rPr>
        <w:t>%。决算数与预算数持平。</w:t>
      </w:r>
    </w:p>
    <w:p>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；公务用车购置及运行维护费支出决算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；公务接待费支出决算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。具体情况如下：</w:t>
      </w:r>
    </w:p>
    <w:p>
      <w:pPr>
        <w:spacing w:line="600" w:lineRule="exact"/>
        <w:ind w:firstLine="640"/>
        <w:rPr>
          <w:rFonts w:ascii="仿宋" w:eastAsia="仿宋" w:hAnsi="仿宋"/>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sz w:val="32"/>
          <w:szCs w:val="32"/>
        </w:rPr>
        <w:t>0</w:t>
      </w:r>
      <w:r>
        <w:rPr>
          <w:rFonts w:ascii="仿宋" w:eastAsia="仿宋" w:hAnsi="仿宋" w:hint="eastAsia"/>
          <w:sz w:val="32"/>
          <w:szCs w:val="32"/>
        </w:rPr>
        <w:t>万元</w:t>
      </w:r>
      <w:r>
        <w:rPr>
          <w:rFonts w:ascii="仿宋" w:eastAsia="仿宋" w:hAnsi="仿宋"/>
          <w:sz w:val="32"/>
          <w:szCs w:val="32"/>
        </w:rPr>
        <w:t>，</w:t>
      </w:r>
      <w:r>
        <w:rPr>
          <w:rStyle w:val="0"/>
          <w:rFonts w:ascii="仿宋" w:eastAsia="仿宋" w:hAnsi="仿宋" w:hint="eastAsia"/>
          <w:bCs/>
          <w:sz w:val="32"/>
          <w:szCs w:val="32"/>
        </w:rPr>
        <w:t>完成预算</w:t>
      </w:r>
      <w:r>
        <w:rPr>
          <w:rStyle w:val="0"/>
          <w:rFonts w:ascii="仿宋" w:eastAsia="仿宋" w:hAnsi="仿宋"/>
          <w:bCs/>
          <w:sz w:val="32"/>
          <w:szCs w:val="32"/>
        </w:rPr>
        <w:t>100%</w:t>
      </w:r>
      <w:r>
        <w:rPr>
          <w:rFonts w:ascii="仿宋" w:eastAsia="仿宋" w:hAnsi="仿宋" w:hint="eastAsia"/>
          <w:sz w:val="32"/>
          <w:szCs w:val="32"/>
        </w:rPr>
        <w:t>。全年安排因公出国（境）团组</w:t>
      </w:r>
      <w:r>
        <w:rPr>
          <w:rFonts w:ascii="仿宋" w:eastAsia="仿宋" w:hAnsi="仿宋"/>
          <w:sz w:val="32"/>
          <w:szCs w:val="32"/>
        </w:rPr>
        <w:t>0</w:t>
      </w:r>
      <w:r>
        <w:rPr>
          <w:rFonts w:ascii="仿宋" w:eastAsia="仿宋" w:hAnsi="仿宋" w:hint="eastAsia"/>
          <w:sz w:val="32"/>
          <w:szCs w:val="32"/>
        </w:rPr>
        <w:t>次，出国（境）</w:t>
      </w:r>
      <w:r>
        <w:rPr>
          <w:rFonts w:ascii="仿宋" w:eastAsia="仿宋" w:hAnsi="仿宋"/>
          <w:sz w:val="32"/>
          <w:szCs w:val="32"/>
        </w:rPr>
        <w:t>0</w:t>
      </w:r>
      <w:r>
        <w:rPr>
          <w:rFonts w:ascii="仿宋" w:eastAsia="仿宋" w:hAnsi="仿宋" w:hint="eastAsia"/>
          <w:sz w:val="32"/>
          <w:szCs w:val="32"/>
        </w:rPr>
        <w:t>人。因公出国（境）支出决算</w:t>
      </w:r>
      <w:r>
        <w:rPr>
          <w:rFonts w:ascii="仿宋" w:eastAsia="仿宋" w:hAnsi="仿宋"/>
          <w:sz w:val="32"/>
          <w:szCs w:val="32"/>
        </w:rPr>
        <w:t>与2021</w:t>
      </w:r>
      <w:r>
        <w:rPr>
          <w:rFonts w:ascii="仿宋" w:eastAsia="仿宋" w:hAnsi="仿宋" w:hint="eastAsia"/>
          <w:sz w:val="32"/>
          <w:szCs w:val="32"/>
        </w:rPr>
        <w:t>年</w:t>
      </w:r>
      <w:r>
        <w:rPr>
          <w:rFonts w:ascii="仿宋" w:eastAsia="仿宋" w:hAnsi="仿宋"/>
          <w:sz w:val="32"/>
          <w:szCs w:val="32"/>
        </w:rPr>
        <w:t>持平</w:t>
      </w:r>
      <w:r>
        <w:rPr>
          <w:rFonts w:ascii="仿宋" w:eastAsia="仿宋" w:hAnsi="仿宋" w:hint="eastAsia"/>
          <w:sz w:val="32"/>
          <w:szCs w:val="32"/>
        </w:rPr>
        <w:t>。</w:t>
      </w:r>
    </w:p>
    <w:p>
      <w:pPr>
        <w:spacing w:line="600" w:lineRule="exact"/>
        <w:ind w:firstLine="640"/>
        <w:rPr>
          <w:rFonts w:ascii="仿宋" w:eastAsia="仿宋" w:hAnsi="仿宋" w:hint="eastAsia"/>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hint="eastAsia"/>
          <w:sz w:val="32"/>
          <w:szCs w:val="32"/>
        </w:rPr>
        <w:t>0万元,</w:t>
      </w:r>
      <w:r>
        <w:rPr>
          <w:rStyle w:val="0"/>
          <w:rFonts w:ascii="仿宋" w:eastAsia="仿宋" w:hAnsi="仿宋" w:hint="eastAsia"/>
          <w:bCs/>
          <w:sz w:val="32"/>
          <w:szCs w:val="32"/>
        </w:rPr>
        <w:t>完成预算100%。</w:t>
      </w:r>
      <w:r>
        <w:rPr>
          <w:rFonts w:ascii="仿宋" w:eastAsia="仿宋" w:hAnsi="仿宋" w:hint="eastAsia"/>
          <w:sz w:val="32"/>
          <w:szCs w:val="32"/>
        </w:rPr>
        <w:t>公务用车购置及运行维护费支出决算与2021年持平。</w:t>
      </w:r>
    </w:p>
    <w:p>
      <w:pPr>
        <w:spacing w:line="600" w:lineRule="exact"/>
        <w:ind w:firstLineChars="200" w:firstLine="640"/>
        <w:rPr>
          <w:rFonts w:ascii="仿宋" w:eastAsia="仿宋" w:hAnsi="仿宋" w:hint="eastAsia"/>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hint="eastAsia"/>
          <w:sz w:val="32"/>
          <w:szCs w:val="32"/>
        </w:rPr>
        <w:t>0万元。全年按规定更新购置公务用车0辆，其中：轿车0辆、金额0万元，越野车0辆、金额0万元，载客汽车0辆、金额0万元。截至2022年12月底，单位共有公务用车0辆，其中：轿车0辆、越野车0辆、载客汽车0辆。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sz w:val="32"/>
          <w:szCs w:val="32"/>
        </w:rPr>
        <w:t>0</w:t>
      </w:r>
      <w:r>
        <w:rPr>
          <w:rFonts w:ascii="仿宋_GB2312" w:eastAsia="仿宋_GB2312" w:hint="eastAsia"/>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sz w:val="32"/>
          <w:szCs w:val="32"/>
        </w:rPr>
        <w:t>0</w:t>
      </w:r>
      <w:r>
        <w:rPr>
          <w:rFonts w:ascii="仿宋_GB2312" w:eastAsia="仿宋_GB2312" w:hint="eastAsia"/>
          <w:sz w:val="32"/>
          <w:szCs w:val="32"/>
        </w:rPr>
        <w:t>万元</w:t>
      </w:r>
      <w:bookmarkStart w:id="41" w:name="_Toc15377218"/>
      <w:bookmarkStart w:id="42" w:name="_Toc15396610"/>
      <w:r>
        <w:rPr>
          <w:rFonts w:ascii="仿宋_GB2312" w:eastAsia="仿宋_GB2312"/>
          <w:sz w:val="32"/>
          <w:szCs w:val="32"/>
        </w:rPr>
        <w:t>，</w:t>
      </w:r>
      <w:r>
        <w:rPr>
          <w:rStyle w:val="22"/>
          <w:rFonts w:ascii="仿宋" w:eastAsia="仿宋" w:hAnsi="仿宋" w:hint="eastAsia"/>
          <w:b w:val="0"/>
          <w:bCs/>
          <w:sz w:val="32"/>
          <w:szCs w:val="32"/>
        </w:rPr>
        <w:t>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w:t>
      </w:r>
      <w:r>
        <w:rPr>
          <w:rFonts w:ascii="仿宋_GB2312" w:eastAsia="仿宋_GB2312"/>
          <w:sz w:val="32"/>
          <w:szCs w:val="32"/>
        </w:rPr>
        <w:t>0.27</w:t>
      </w:r>
      <w:r>
        <w:rPr>
          <w:rFonts w:ascii="仿宋_GB2312" w:eastAsia="仿宋_GB2312" w:hint="eastAsia"/>
          <w:sz w:val="32"/>
          <w:szCs w:val="32"/>
        </w:rPr>
        <w:t>万元，下降</w:t>
      </w:r>
      <w:r>
        <w:rPr>
          <w:rFonts w:ascii="仿宋_GB2312" w:eastAsia="仿宋_GB2312"/>
          <w:sz w:val="32"/>
          <w:szCs w:val="32"/>
        </w:rPr>
        <w:t>100%</w:t>
      </w:r>
      <w:r>
        <w:rPr>
          <w:rFonts w:ascii="仿宋_GB2312" w:eastAsia="仿宋_GB2312" w:hint="eastAsia"/>
          <w:sz w:val="32"/>
          <w:szCs w:val="32"/>
        </w:rPr>
        <w:t>。主要原因是</w:t>
      </w:r>
      <w:r>
        <w:rPr>
          <w:rFonts w:ascii="仿宋_GB2312" w:eastAsia="仿宋_GB2312"/>
          <w:sz w:val="32"/>
          <w:szCs w:val="32"/>
        </w:rPr>
        <w:t>2022年未发生公务接待</w:t>
      </w:r>
      <w:r>
        <w:rPr>
          <w:rFonts w:ascii="仿宋_GB2312" w:eastAsia="仿宋_GB2312" w:hint="eastAsia"/>
          <w:sz w:val="32"/>
          <w:szCs w:val="32"/>
        </w:rPr>
        <w:t>。其中：</w:t>
      </w:r>
    </w:p>
    <w:p>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sz w:val="32"/>
          <w:szCs w:val="32"/>
        </w:rPr>
        <w:t>0</w:t>
      </w:r>
      <w:r>
        <w:rPr>
          <w:rFonts w:ascii="仿宋_GB2312" w:eastAsia="仿宋_GB2312" w:hint="eastAsia"/>
          <w:sz w:val="32"/>
          <w:szCs w:val="32"/>
        </w:rPr>
        <w:t>万元。国内公务接待</w:t>
      </w:r>
      <w:r>
        <w:rPr>
          <w:rFonts w:ascii="仿宋_GB2312" w:eastAsia="仿宋_GB2312"/>
          <w:sz w:val="32"/>
          <w:szCs w:val="32"/>
        </w:rPr>
        <w:t>0</w:t>
      </w:r>
      <w:r>
        <w:rPr>
          <w:rFonts w:ascii="仿宋_GB2312" w:eastAsia="仿宋_GB2312" w:hint="eastAsia"/>
          <w:sz w:val="32"/>
          <w:szCs w:val="32"/>
        </w:rPr>
        <w:t>批次，</w:t>
      </w:r>
      <w:r>
        <w:rPr>
          <w:rFonts w:ascii="仿宋_GB2312" w:eastAsia="仿宋_GB2312"/>
          <w:sz w:val="32"/>
          <w:szCs w:val="32"/>
        </w:rPr>
        <w:t>0</w:t>
      </w:r>
      <w:r>
        <w:rPr>
          <w:rFonts w:ascii="仿宋_GB2312" w:eastAsia="仿宋_GB2312" w:hint="eastAsia"/>
          <w:sz w:val="32"/>
          <w:szCs w:val="32"/>
        </w:rPr>
        <w:t>人次（不包括陪同人员），共计支出</w:t>
      </w:r>
      <w:r>
        <w:rPr>
          <w:rFonts w:ascii="仿宋_GB2312" w:eastAsia="仿宋_GB2312"/>
          <w:sz w:val="32"/>
          <w:szCs w:val="32"/>
        </w:rPr>
        <w:t>0</w:t>
      </w:r>
      <w:r>
        <w:rPr>
          <w:rFonts w:ascii="仿宋_GB2312" w:eastAsia="仿宋_GB2312" w:hint="eastAsia"/>
          <w:sz w:val="32"/>
          <w:szCs w:val="32"/>
        </w:rPr>
        <w:t>万元。</w:t>
      </w:r>
    </w:p>
    <w:p>
      <w:pPr>
        <w:spacing w:line="600" w:lineRule="exact"/>
        <w:ind w:firstLineChars="200" w:firstLine="640"/>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sz w:val="32"/>
          <w:szCs w:val="32"/>
        </w:rPr>
        <w:t>0</w:t>
      </w:r>
      <w:r>
        <w:rPr>
          <w:rFonts w:ascii="仿宋_GB2312" w:eastAsia="仿宋_GB2312" w:hint="eastAsia"/>
          <w:sz w:val="32"/>
          <w:szCs w:val="32"/>
        </w:rPr>
        <w:t>万元。外事接待</w:t>
      </w:r>
      <w:r>
        <w:rPr>
          <w:rFonts w:ascii="仿宋_GB2312" w:eastAsia="仿宋_GB2312"/>
          <w:sz w:val="32"/>
          <w:szCs w:val="32"/>
        </w:rPr>
        <w:t>0</w:t>
      </w:r>
      <w:r>
        <w:rPr>
          <w:rFonts w:ascii="仿宋_GB2312" w:eastAsia="仿宋_GB2312" w:hint="eastAsia"/>
          <w:sz w:val="32"/>
          <w:szCs w:val="32"/>
        </w:rPr>
        <w:t>批次，</w:t>
      </w:r>
      <w:r>
        <w:rPr>
          <w:rFonts w:ascii="仿宋_GB2312" w:eastAsia="仿宋_GB2312"/>
          <w:sz w:val="32"/>
          <w:szCs w:val="32"/>
        </w:rPr>
        <w:t>0</w:t>
      </w:r>
      <w:r>
        <w:rPr>
          <w:rFonts w:ascii="仿宋_GB2312" w:eastAsia="仿宋_GB2312" w:hint="eastAsia"/>
          <w:sz w:val="32"/>
          <w:szCs w:val="32"/>
        </w:rPr>
        <w:t>人次（不包括陪同人员），共计支出</w:t>
      </w:r>
      <w:r>
        <w:rPr>
          <w:rFonts w:ascii="仿宋_GB2312" w:eastAsia="仿宋_GB2312"/>
          <w:sz w:val="32"/>
          <w:szCs w:val="32"/>
        </w:rPr>
        <w:t>0</w:t>
      </w:r>
      <w:r>
        <w:rPr>
          <w:rFonts w:ascii="仿宋_GB2312" w:eastAsia="仿宋_GB2312" w:hint="eastAsia"/>
          <w:sz w:val="32"/>
          <w:szCs w:val="32"/>
        </w:rPr>
        <w:t>万元。</w:t>
      </w:r>
    </w:p>
    <w:p>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Pr>
          <w:rFonts w:ascii="仿宋_GB2312" w:eastAsia="仿宋_GB2312"/>
          <w:sz w:val="32"/>
          <w:szCs w:val="32"/>
        </w:rPr>
        <w:t>0</w:t>
      </w:r>
      <w:r>
        <w:rPr>
          <w:rFonts w:ascii="仿宋_GB2312" w:eastAsia="仿宋_GB2312" w:hint="eastAsia"/>
          <w:sz w:val="32"/>
          <w:szCs w:val="32"/>
        </w:rPr>
        <w:t>万元。</w:t>
      </w:r>
    </w:p>
    <w:p>
      <w:pPr>
        <w:numPr>
          <w:ilvl w:val="0"/>
          <w:numId w:val="3"/>
        </w:numPr>
        <w:spacing w:line="600" w:lineRule="exact"/>
        <w:ind w:left="0" w:firstLine="640"/>
        <w:outlineLvl w:val="1"/>
        <w:rPr>
          <w:rStyle w:val="2Char"/>
          <w:rFonts w:ascii="黑体" w:eastAsia="黑体" w:hAnsi="黑体"/>
          <w:b w:val="0"/>
        </w:rPr>
      </w:pPr>
      <w:bookmarkStart w:id="43" w:name="_Toc15396611"/>
      <w:bookmarkStart w:id="44" w:name="_Toc15377219"/>
      <w:r>
        <w:rPr>
          <w:rStyle w:val="2Char"/>
          <w:rFonts w:ascii="黑体" w:eastAsia="黑体" w:hAnsi="黑体" w:hint="eastAsia"/>
          <w:b w:val="0"/>
        </w:rPr>
        <w:t>国有资本经营预算支出决算情况说明</w:t>
      </w:r>
      <w:bookmarkEnd w:id="43"/>
      <w:bookmarkEnd w:id="44"/>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Pr>
          <w:rFonts w:ascii="仿宋_GB2312" w:eastAsia="仿宋_GB2312"/>
          <w:sz w:val="32"/>
          <w:szCs w:val="32"/>
        </w:rPr>
        <w:t>0</w:t>
      </w:r>
      <w:r>
        <w:rPr>
          <w:rFonts w:ascii="仿宋_GB2312" w:eastAsia="仿宋_GB2312" w:hint="eastAsia"/>
          <w:sz w:val="32"/>
          <w:szCs w:val="32"/>
        </w:rPr>
        <w:t>万元。</w:t>
      </w:r>
    </w:p>
    <w:p>
      <w:pPr>
        <w:numPr>
          <w:ilvl w:val="0"/>
          <w:numId w:val="3"/>
        </w:numPr>
        <w:spacing w:line="600" w:lineRule="exact"/>
        <w:ind w:left="0"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t>其他重要事项的情况说明</w:t>
      </w:r>
      <w:bookmarkEnd w:id="45"/>
      <w:bookmarkEnd w:id="46"/>
    </w:p>
    <w:p>
      <w:pPr>
        <w:spacing w:line="600" w:lineRule="exact"/>
        <w:ind w:firstLineChars="200" w:firstLine="640"/>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市委党史研究室</w:t>
      </w:r>
      <w:r>
        <w:rPr>
          <w:rFonts w:ascii="仿宋_GB2312" w:eastAsia="仿宋_GB2312" w:hint="eastAsia"/>
          <w:sz w:val="32"/>
          <w:szCs w:val="32"/>
        </w:rPr>
        <w:t>机关运行经费支出</w:t>
      </w:r>
      <w:r>
        <w:rPr>
          <w:rFonts w:ascii="仿宋_GB2312" w:eastAsia="仿宋_GB2312"/>
          <w:sz w:val="32"/>
          <w:szCs w:val="32"/>
        </w:rPr>
        <w:t>17.26</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21年减少</w:t>
      </w:r>
      <w:r>
        <w:rPr>
          <w:rFonts w:ascii="仿宋_GB2312" w:eastAsia="仿宋_GB2312"/>
          <w:sz w:val="32"/>
          <w:szCs w:val="32"/>
        </w:rPr>
        <w:t>9.55</w:t>
      </w:r>
      <w:r>
        <w:rPr>
          <w:rFonts w:ascii="仿宋_GB2312" w:eastAsia="仿宋_GB2312" w:hint="eastAsia"/>
          <w:sz w:val="32"/>
          <w:szCs w:val="32"/>
        </w:rPr>
        <w:t>万元，下降</w:t>
      </w:r>
      <w:r>
        <w:rPr>
          <w:rFonts w:ascii="仿宋_GB2312" w:eastAsia="仿宋_GB2312"/>
          <w:sz w:val="32"/>
          <w:szCs w:val="32"/>
        </w:rPr>
        <w:t>35.62%</w:t>
      </w:r>
      <w:r>
        <w:rPr>
          <w:rFonts w:ascii="仿宋_GB2312" w:eastAsia="仿宋_GB2312" w:hint="eastAsia"/>
          <w:sz w:val="32"/>
          <w:szCs w:val="32"/>
        </w:rPr>
        <w:t>。主要原因是</w:t>
      </w:r>
      <w:r>
        <w:rPr>
          <w:rFonts w:ascii="仿宋_GB2312" w:eastAsia="仿宋_GB2312"/>
          <w:sz w:val="32"/>
          <w:szCs w:val="32"/>
        </w:rPr>
        <w:t>调出1人，运行经费减少。</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市委党史研究室</w:t>
      </w:r>
      <w:r>
        <w:rPr>
          <w:rFonts w:ascii="仿宋_GB2312" w:eastAsia="仿宋_GB2312" w:hint="eastAsia"/>
          <w:sz w:val="32"/>
          <w:szCs w:val="32"/>
        </w:rPr>
        <w:t>政府采购支出总额</w:t>
      </w:r>
      <w:r>
        <w:rPr>
          <w:rFonts w:ascii="仿宋_GB2312" w:eastAsia="仿宋_GB2312"/>
          <w:sz w:val="32"/>
          <w:szCs w:val="32"/>
        </w:rPr>
        <w:t>0</w:t>
      </w:r>
      <w:r>
        <w:rPr>
          <w:rFonts w:ascii="仿宋_GB2312" w:eastAsia="仿宋_GB2312" w:hint="eastAsia"/>
          <w:sz w:val="32"/>
          <w:szCs w:val="32"/>
        </w:rPr>
        <w:t>万元。</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日，市委党史研究室无公务车辆。单价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w:t>
      </w: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pPr>
        <w:pStyle w:val="15"/>
        <w:spacing w:beforeLines="0" w:before="93"/>
        <w:ind w:firstLineChars="200" w:firstLine="640"/>
        <w:rPr>
          <w:highlight w:val="yellow"/>
        </w:rPr>
      </w:pPr>
      <w:r>
        <w:rPr>
          <w:rFonts w:cs="仿宋_GB2312" w:hAnsi="仿宋_GB2312" w:hint="eastAsia"/>
          <w:sz w:val="32"/>
          <w:szCs w:val="32"/>
        </w:rPr>
        <w:t>根据预算绩效管理要求，本单位在202</w:t>
      </w:r>
      <w:r>
        <w:rPr>
          <w:rFonts w:cs="仿宋_GB2312" w:hAnsi="仿宋_GB2312"/>
          <w:sz w:val="32"/>
          <w:szCs w:val="32"/>
        </w:rPr>
        <w:t>1</w:t>
      </w:r>
      <w:r>
        <w:rPr>
          <w:rFonts w:cs="仿宋_GB2312" w:hAnsi="仿宋_GB2312" w:hint="eastAsia"/>
          <w:sz w:val="32"/>
          <w:szCs w:val="32"/>
        </w:rPr>
        <w:t>年度</w:t>
      </w:r>
      <w:r>
        <w:rPr>
          <w:rFonts w:cs="仿宋_GB2312" w:hAnsi="仿宋_GB2312"/>
          <w:sz w:val="32"/>
          <w:szCs w:val="32"/>
        </w:rPr>
        <w:t>已</w:t>
      </w:r>
      <w:r>
        <w:rPr>
          <w:rFonts w:cs="仿宋_GB2312" w:hAnsi="仿宋_GB2312" w:hint="eastAsia"/>
          <w:sz w:val="32"/>
          <w:szCs w:val="32"/>
        </w:rPr>
        <w:t>对党史数字信息化工程</w:t>
      </w:r>
      <w:r>
        <w:rPr>
          <w:rFonts w:cs="仿宋_GB2312" w:hAnsi="仿宋_GB2312"/>
          <w:sz w:val="32"/>
          <w:szCs w:val="32"/>
        </w:rPr>
        <w:t>开展了</w:t>
      </w:r>
      <w:r>
        <w:rPr>
          <w:rFonts w:cs="仿宋_GB2312" w:hAnsi="仿宋_GB2312" w:hint="eastAsia"/>
          <w:sz w:val="32"/>
          <w:szCs w:val="32"/>
        </w:rPr>
        <w:t>预算事前绩效评估</w:t>
      </w:r>
      <w:r>
        <w:rPr>
          <w:rFonts w:cs="仿宋_GB2312" w:hAnsi="仿宋_GB2312"/>
          <w:sz w:val="32"/>
          <w:szCs w:val="32"/>
        </w:rPr>
        <w:t>；2022年度预算编制过程中，</w:t>
      </w:r>
      <w:r>
        <w:rPr>
          <w:rFonts w:cs="仿宋_GB2312" w:hAnsi="仿宋_GB2312" w:hint="eastAsia"/>
          <w:sz w:val="32"/>
          <w:szCs w:val="32"/>
        </w:rPr>
        <w:t>对</w:t>
      </w:r>
      <w:r>
        <w:rPr>
          <w:rFonts w:cs="仿宋_GB2312" w:hAnsi="仿宋_GB2312"/>
          <w:sz w:val="32"/>
          <w:szCs w:val="32"/>
        </w:rPr>
        <w:t>19</w:t>
      </w:r>
      <w:r>
        <w:rPr>
          <w:rFonts w:cs="仿宋_GB2312" w:hAnsi="仿宋_GB2312" w:hint="eastAsia"/>
          <w:sz w:val="32"/>
          <w:szCs w:val="32"/>
        </w:rPr>
        <w:t>个项目编制了绩效目标</w:t>
      </w:r>
      <w:r>
        <w:rPr>
          <w:rFonts w:cs="仿宋_GB2312" w:hAnsi="仿宋_GB2312"/>
          <w:sz w:val="32"/>
          <w:szCs w:val="32"/>
        </w:rPr>
        <w:t>；</w:t>
      </w:r>
      <w:r>
        <w:rPr>
          <w:rFonts w:cs="仿宋_GB2312" w:hAnsi="仿宋_GB2312" w:hint="eastAsia"/>
          <w:sz w:val="32"/>
          <w:szCs w:val="32"/>
        </w:rPr>
        <w:t>预算执行过程中，选取</w:t>
      </w:r>
      <w:r>
        <w:rPr>
          <w:rFonts w:cs="仿宋_GB2312" w:hAnsi="仿宋_GB2312"/>
          <w:sz w:val="32"/>
          <w:szCs w:val="32"/>
        </w:rPr>
        <w:t>19</w:t>
      </w:r>
      <w:r>
        <w:rPr>
          <w:rFonts w:cs="仿宋_GB2312" w:hAnsi="仿宋_GB2312" w:hint="eastAsia"/>
          <w:sz w:val="32"/>
          <w:szCs w:val="32"/>
        </w:rPr>
        <w:t>个项目开展绩效监控，组织对</w:t>
      </w:r>
      <w:r>
        <w:rPr>
          <w:rFonts w:cs="仿宋_GB2312" w:hAnsi="仿宋_GB2312"/>
          <w:sz w:val="32"/>
          <w:szCs w:val="32"/>
        </w:rPr>
        <w:t>19</w:t>
      </w:r>
      <w:r>
        <w:rPr>
          <w:rFonts w:cs="仿宋_GB2312" w:hAnsi="仿宋_GB2312" w:hint="eastAsia"/>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left="0"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t>名</w:t>
      </w:r>
      <w:r>
        <w:rPr>
          <w:rStyle w:val="1Char"/>
          <w:rFonts w:ascii="黑体" w:eastAsia="黑体" w:hAnsi="黑体" w:hint="eastAsia"/>
          <w:b w:val="0"/>
        </w:rPr>
        <w:t>词解释</w:t>
      </w:r>
      <w:bookmarkEnd w:id="50"/>
      <w:bookmarkEnd w:id="51"/>
    </w:p>
    <w:p>
      <w:pPr>
        <w:spacing w:line="600" w:lineRule="exact"/>
        <w:jc w:val="left"/>
        <w:rPr>
          <w:rFonts w:ascii="宋体"/>
          <w:b/>
          <w:sz w:val="44"/>
          <w:szCs w:val="44"/>
        </w:rPr>
      </w:pPr>
    </w:p>
    <w:p>
      <w:pPr>
        <w:pStyle w:val="27"/>
        <w:spacing w:line="560" w:lineRule="exact"/>
        <w:ind w:firstLineChars="200" w:firstLine="640"/>
        <w:jc w:val="both"/>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27"/>
        <w:spacing w:line="560" w:lineRule="exact"/>
        <w:ind w:firstLineChars="200" w:firstLine="640"/>
        <w:jc w:val="both"/>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其他收入：指单位取得的除上述收入以外的各项收入。</w:t>
      </w:r>
    </w:p>
    <w:p>
      <w:pPr>
        <w:pStyle w:val="27"/>
        <w:spacing w:line="560" w:lineRule="exact"/>
        <w:ind w:firstLineChars="200" w:firstLine="640"/>
        <w:jc w:val="both"/>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Chars="200" w:firstLine="640"/>
        <w:jc w:val="both"/>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结余分配：指事业单位按照会计制度规定缴纳的所得税、提取的专用结余以及转入非财政拨款结余的金额等。</w:t>
      </w:r>
    </w:p>
    <w:p>
      <w:pPr>
        <w:pStyle w:val="27"/>
        <w:spacing w:line="560" w:lineRule="exact"/>
        <w:ind w:firstLineChars="200" w:firstLine="640"/>
        <w:jc w:val="both"/>
        <w:rPr>
          <w:rFonts w:ascii="仿宋_GB2312" w:eastAsia="仿宋_GB2312" w:hint="eastAsia"/>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.年末结转和结余：指单位按有关规定结转到下年或以后年度继续使用的资金。</w:t>
      </w:r>
    </w:p>
    <w:p>
      <w:pPr>
        <w:pStyle w:val="27"/>
        <w:spacing w:line="560" w:lineRule="exact"/>
        <w:ind w:firstLineChars="200" w:firstLine="640"/>
        <w:jc w:val="both"/>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.一般公共服务（类）党委办公厅（室）及相关机构事务（款）行政运行（项）:</w:t>
      </w:r>
      <w:r>
        <w:rPr>
          <w:rFonts w:ascii="仿宋_GB2312" w:eastAsia="仿宋_GB2312"/>
          <w:color w:val="auto"/>
          <w:sz w:val="32"/>
          <w:szCs w:val="32"/>
        </w:rPr>
        <w:t>指反映行政单位（包括实行公务员管理的事业单位）的基本支出。</w:t>
      </w:r>
    </w:p>
    <w:p>
      <w:pPr>
        <w:pStyle w:val="27"/>
        <w:spacing w:line="560" w:lineRule="exact"/>
        <w:ind w:firstLineChars="200" w:firstLine="640"/>
        <w:jc w:val="both"/>
        <w:rPr>
          <w:rFonts w:ascii="仿宋_GB2312" w:eastAsia="仿宋_GB2312" w:hint="eastAsia"/>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.科学技术支出（类）科学技术管理事务（款）行政运行（项）:指反映行政单位（包括实行公务员管理的事业单位）的基本支出。</w:t>
      </w:r>
    </w:p>
    <w:p>
      <w:pPr>
        <w:pStyle w:val="27"/>
        <w:spacing w:line="560" w:lineRule="exact"/>
        <w:ind w:firstLineChars="200" w:firstLine="640"/>
        <w:jc w:val="both"/>
        <w:rPr>
          <w:rFonts w:ascii="仿宋_GB2312" w:eastAsia="仿宋_GB2312" w:hint="eastAsia"/>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.科学技术支出（类）社会科学（款）其他社会科学支出（项）:指反映其他用于社会科学研究方面的支出，包括中国社科院研究生院的支出。</w:t>
      </w:r>
    </w:p>
    <w:p>
      <w:pPr>
        <w:pStyle w:val="27"/>
        <w:spacing w:line="560" w:lineRule="exact"/>
        <w:ind w:firstLineChars="200" w:firstLine="640"/>
        <w:jc w:val="both"/>
        <w:rPr>
          <w:rFonts w:ascii="仿宋_GB2312" w:eastAsia="仿宋_GB2312" w:hint="eastAsia"/>
          <w:color w:val="auto"/>
          <w:sz w:val="32"/>
          <w:szCs w:val="32"/>
        </w:rPr>
      </w:pPr>
      <w:r>
        <w:rPr>
          <w:rFonts w:ascii="仿宋_GB2312" w:eastAsia="仿宋_GB2312"/>
          <w:color w:val="auto"/>
          <w:sz w:val="32"/>
          <w:szCs w:val="32"/>
        </w:rPr>
        <w:t>9</w:t>
      </w:r>
      <w:r>
        <w:rPr>
          <w:rFonts w:ascii="仿宋_GB2312" w:eastAsia="仿宋_GB2312" w:hint="eastAsia"/>
          <w:color w:val="auto"/>
          <w:sz w:val="32"/>
          <w:szCs w:val="32"/>
        </w:rPr>
        <w:t>.社会保障和就业（类）行政事业单位养老支出（款）行政单位离退休（项）:指反映行政单位（包括实行公务员管理的事业单位）开支的离退休经费。</w:t>
      </w:r>
    </w:p>
    <w:p>
      <w:pPr>
        <w:pStyle w:val="27"/>
        <w:spacing w:line="560" w:lineRule="exact"/>
        <w:ind w:firstLineChars="200" w:firstLine="640"/>
        <w:jc w:val="both"/>
        <w:rPr>
          <w:rFonts w:ascii="仿宋_GB2312" w:eastAsia="仿宋_GB2312" w:hint="eastAsia"/>
          <w:color w:val="auto"/>
          <w:sz w:val="32"/>
          <w:szCs w:val="32"/>
        </w:rPr>
      </w:pPr>
      <w:r>
        <w:rPr>
          <w:rFonts w:ascii="仿宋_GB2312" w:eastAsia="仿宋_GB2312"/>
          <w:color w:val="auto"/>
          <w:sz w:val="32"/>
          <w:szCs w:val="32"/>
        </w:rPr>
        <w:t>10</w:t>
      </w:r>
      <w:r>
        <w:rPr>
          <w:rFonts w:ascii="仿宋_GB2312" w:eastAsia="仿宋_GB2312" w:hint="eastAsia"/>
          <w:color w:val="auto"/>
          <w:sz w:val="32"/>
          <w:szCs w:val="32"/>
        </w:rPr>
        <w:t>.社会保障和就业（类）行政事业单位养老支出（款）机关事业单位基本养老保险缴费支出（项）:指反映机关事业单位实施养老保险制度由单位缴纳的基本养老保险费支出。</w:t>
      </w:r>
    </w:p>
    <w:p>
      <w:pPr>
        <w:pStyle w:val="27"/>
        <w:spacing w:line="560" w:lineRule="exact"/>
        <w:ind w:firstLineChars="200" w:firstLine="640"/>
        <w:jc w:val="both"/>
        <w:rPr>
          <w:rFonts w:ascii="仿宋_GB2312" w:eastAsia="仿宋_GB2312" w:hint="eastAsia"/>
          <w:color w:val="auto"/>
          <w:sz w:val="32"/>
          <w:szCs w:val="32"/>
        </w:rPr>
      </w:pPr>
      <w:r>
        <w:rPr>
          <w:rFonts w:ascii="仿宋_GB2312" w:eastAsia="仿宋_GB2312"/>
          <w:color w:val="auto"/>
          <w:sz w:val="32"/>
          <w:szCs w:val="32"/>
        </w:rPr>
        <w:t>11</w:t>
      </w:r>
      <w:r>
        <w:rPr>
          <w:rFonts w:ascii="仿宋_GB2312" w:eastAsia="仿宋_GB2312" w:hint="eastAsia"/>
          <w:color w:val="auto"/>
          <w:sz w:val="32"/>
          <w:szCs w:val="32"/>
        </w:rPr>
        <w:t>.社会保障和就业（类）抚恤（款）死亡抚恤（项）:指反映按规定用于烈士和牺牲、病故人员家属的一次性和定期抚恤金</w:t>
      </w:r>
      <w:r>
        <w:rPr>
          <w:rFonts w:ascii="仿宋_GB2312" w:eastAsia="仿宋_GB2312"/>
          <w:color w:val="auto"/>
          <w:sz w:val="32"/>
          <w:szCs w:val="32"/>
        </w:rPr>
        <w:t>、</w:t>
      </w:r>
      <w:r>
        <w:rPr>
          <w:rFonts w:ascii="仿宋_GB2312" w:eastAsia="仿宋_GB2312" w:hint="eastAsia"/>
          <w:color w:val="auto"/>
          <w:sz w:val="32"/>
          <w:szCs w:val="32"/>
        </w:rPr>
        <w:t>丧葬补助费</w:t>
      </w:r>
      <w:r>
        <w:rPr>
          <w:rFonts w:ascii="仿宋_GB2312" w:eastAsia="仿宋_GB2312"/>
          <w:color w:val="auto"/>
          <w:sz w:val="32"/>
          <w:szCs w:val="32"/>
        </w:rPr>
        <w:t>以及烈士褒扬金</w:t>
      </w:r>
      <w:r>
        <w:rPr>
          <w:rFonts w:ascii="仿宋_GB2312" w:eastAsia="仿宋_GB2312" w:hint="eastAsia"/>
          <w:color w:val="auto"/>
          <w:sz w:val="32"/>
          <w:szCs w:val="32"/>
        </w:rPr>
        <w:t>。</w:t>
      </w:r>
    </w:p>
    <w:p>
      <w:pPr>
        <w:pStyle w:val="27"/>
        <w:spacing w:line="560" w:lineRule="exact"/>
        <w:ind w:firstLineChars="200" w:firstLine="640"/>
        <w:jc w:val="both"/>
        <w:rPr>
          <w:rFonts w:ascii="仿宋_GB2312" w:eastAsia="仿宋_GB2312" w:hint="eastAsia"/>
          <w:color w:val="auto"/>
          <w:sz w:val="32"/>
          <w:szCs w:val="32"/>
        </w:rPr>
      </w:pPr>
      <w:r>
        <w:rPr>
          <w:rFonts w:ascii="仿宋_GB2312" w:eastAsia="仿宋_GB2312"/>
          <w:color w:val="auto"/>
          <w:sz w:val="32"/>
          <w:szCs w:val="32"/>
        </w:rPr>
        <w:t>12</w:t>
      </w:r>
      <w:r>
        <w:rPr>
          <w:rFonts w:ascii="仿宋_GB2312" w:eastAsia="仿宋_GB2312" w:hint="eastAsia"/>
          <w:color w:val="auto"/>
          <w:sz w:val="32"/>
          <w:szCs w:val="32"/>
        </w:rPr>
        <w:t>.社会保障和就业（类）社会福利（款）儿童福利（项）:指反映对儿童提供福利服务方面的支出。</w:t>
      </w:r>
    </w:p>
    <w:p>
      <w:pPr>
        <w:pStyle w:val="27"/>
        <w:spacing w:line="560" w:lineRule="exact"/>
        <w:ind w:firstLineChars="200" w:firstLine="640"/>
        <w:jc w:val="both"/>
        <w:rPr>
          <w:rFonts w:ascii="仿宋_GB2312" w:eastAsia="仿宋_GB2312" w:hint="eastAsia"/>
          <w:color w:val="auto"/>
          <w:sz w:val="32"/>
          <w:szCs w:val="32"/>
        </w:rPr>
      </w:pPr>
      <w:r>
        <w:rPr>
          <w:rFonts w:ascii="仿宋_GB2312" w:eastAsia="仿宋_GB2312"/>
          <w:color w:val="auto"/>
          <w:sz w:val="32"/>
          <w:szCs w:val="32"/>
        </w:rPr>
        <w:t>13</w:t>
      </w:r>
      <w:r>
        <w:rPr>
          <w:rFonts w:ascii="仿宋_GB2312" w:eastAsia="仿宋_GB2312" w:hint="eastAsia"/>
          <w:color w:val="auto"/>
          <w:sz w:val="32"/>
          <w:szCs w:val="32"/>
        </w:rPr>
        <w:t>.住房保障支出（类）住房改革支出（款）住房公积金（项）:指反映行政事业单位按人力资源和社会保障部、财政部规定的基本工资和津贴补贴以及规定比例为职工缴纳的住房公积金。</w:t>
      </w:r>
    </w:p>
    <w:p>
      <w:pPr>
        <w:ind w:firstLineChars="200" w:firstLine="640"/>
        <w:jc w:val="both"/>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基本支出：指为保障机构正常运转、完成日常工作任务而发生的人员支出和公用支出。</w:t>
      </w:r>
    </w:p>
    <w:p>
      <w:pPr>
        <w:ind w:firstLineChars="200" w:firstLine="640"/>
        <w:jc w:val="both"/>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pPr>
        <w:pStyle w:val="27"/>
        <w:spacing w:line="560" w:lineRule="exact"/>
        <w:ind w:firstLineChars="200" w:firstLine="640"/>
        <w:jc w:val="both"/>
        <w:rPr>
          <w:rFonts w:ascii="仿宋_GB2312" w:eastAsia="仿宋_GB2312"/>
          <w:color w:val="auto"/>
          <w:sz w:val="32"/>
          <w:szCs w:val="32"/>
        </w:rPr>
      </w:pPr>
      <w:r>
        <w:rPr>
          <w:rFonts w:ascii="仿宋_GB2312" w:eastAsia="仿宋_GB2312"/>
          <w:color w:val="auto"/>
          <w:sz w:val="32"/>
          <w:szCs w:val="32"/>
        </w:rPr>
        <w:t>16.</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jc w:val="both"/>
        <w:rPr>
          <w:rFonts w:ascii="仿宋_GB2312" w:eastAsia="仿宋_GB2312"/>
          <w:color w:val="auto"/>
          <w:sz w:val="32"/>
          <w:szCs w:val="32"/>
        </w:rPr>
      </w:pPr>
      <w:r>
        <w:rPr>
          <w:rFonts w:ascii="仿宋_GB2312" w:eastAsia="仿宋_GB2312"/>
          <w:color w:val="auto"/>
          <w:sz w:val="32"/>
          <w:szCs w:val="32"/>
        </w:rPr>
        <w:t>17.</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仿宋" w:eastAsia="仿宋" w:hAnsi="仿宋"/>
          <w:b/>
          <w:sz w:val="32"/>
          <w:szCs w:val="32"/>
        </w:rPr>
      </w:pPr>
    </w:p>
    <w:p>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t>第</w:t>
      </w:r>
      <w:r>
        <w:rPr>
          <w:rStyle w:val="1Char"/>
          <w:rFonts w:ascii="黑体" w:eastAsia="黑体" w:hAnsi="黑体" w:hint="eastAsia"/>
          <w:b w:val="0"/>
        </w:rPr>
        <w:t>四部分 附件</w:t>
      </w:r>
      <w:bookmarkEnd w:id="53"/>
    </w:p>
    <w:p>
      <w:pPr>
        <w:spacing w:line="572" w:lineRule="exact"/>
        <w:jc w:val="left"/>
        <w:outlineLvl w:val="0"/>
        <w:rPr>
          <w:rFonts w:ascii="仿宋_GB2312" w:eastAsia="仿宋_GB2312" w:cs="仿宋_GB2312" w:hAnsi="仿宋_GB2312"/>
          <w:sz w:val="32"/>
          <w:szCs w:val="32"/>
        </w:rPr>
      </w:pPr>
    </w:p>
    <w:p>
      <w:pPr>
        <w:spacing w:line="600" w:lineRule="exact"/>
        <w:jc w:val="center"/>
        <w:outlineLvl w:val="0"/>
        <w:rPr>
          <w:kern w:val="0"/>
          <w:sz w:val="32"/>
          <w:szCs w:val="32"/>
        </w:rPr>
      </w:pPr>
      <w:bookmarkStart w:id="54" w:name="_Toc15396618"/>
      <w:r>
        <w:rPr>
          <w:rFonts w:ascii="宋体" w:cs="宋体" w:hAnsi="宋体" w:hint="eastAsia"/>
          <w:kern w:val="0"/>
          <w:sz w:val="32"/>
          <w:szCs w:val="32"/>
        </w:rPr>
        <w:t>部门预算项目支出绩效自评表（</w:t>
      </w:r>
      <w:r>
        <w:rPr>
          <w:kern w:val="0"/>
          <w:sz w:val="32"/>
          <w:szCs w:val="32"/>
        </w:rPr>
        <w:t>2022</w:t>
      </w:r>
      <w:r>
        <w:rPr>
          <w:rFonts w:ascii="宋体" w:cs="宋体" w:hAnsi="宋体" w:hint="eastAsia"/>
          <w:kern w:val="0"/>
          <w:sz w:val="32"/>
          <w:szCs w:val="32"/>
        </w:rPr>
        <w:t>年度）见附件</w:t>
      </w:r>
      <w:r>
        <w:rPr>
          <w:kern w:val="0"/>
          <w:sz w:val="32"/>
          <w:szCs w:val="32"/>
        </w:rPr>
        <w:t>3</w:t>
      </w:r>
    </w:p>
    <w:p>
      <w:pPr>
        <w:spacing w:line="600" w:lineRule="exact"/>
        <w:jc w:val="left"/>
        <w:outlineLvl w:val="0"/>
        <w:rPr>
          <w:rFonts w:ascii="仿宋_GB2312" w:eastAsia="仿宋_GB2312" w:cs="仿宋" w:hAnsi="Calibri"/>
          <w:kern w:val="0"/>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55" w:name="_Toc15396619"/>
      <w:bookmarkEnd w:id="52"/>
      <w:bookmarkEnd w:id="54"/>
    </w:p>
    <w:p>
      <w:pPr>
        <w:pStyle w:val="2"/>
        <w:rPr>
          <w:rFonts w:ascii="仿宋" w:eastAsia="仿宋" w:hAnsi="仿宋"/>
        </w:rPr>
      </w:pPr>
      <w:r>
        <w:rPr>
          <w:rFonts w:ascii="仿宋" w:eastAsia="仿宋" w:hAnsi="仿宋" w:hint="eastAsia"/>
          <w:b w:val="0"/>
        </w:rPr>
        <w:t>一、收</w:t>
      </w:r>
      <w:r>
        <w:rPr>
          <w:rStyle w:val="2Char"/>
          <w:rFonts w:ascii="仿宋" w:eastAsia="仿宋" w:hAnsi="仿宋" w:hint="eastAsia"/>
          <w:b w:val="0"/>
          <w:bCs w:val="0"/>
        </w:rPr>
        <w:t>入支出决算总表</w:t>
      </w:r>
      <w:bookmarkEnd w:id="55"/>
    </w:p>
    <w:p>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b w:val="0"/>
          <w:bCs w:val="0"/>
        </w:rPr>
        <w:t>入决算表</w:t>
      </w:r>
      <w:bookmarkEnd w:id="56"/>
    </w:p>
    <w:p>
      <w:pPr>
        <w:pStyle w:val="2"/>
        <w:rPr>
          <w:rFonts w:ascii="仿宋" w:eastAsia="仿宋" w:hAnsi="仿宋"/>
        </w:rPr>
      </w:pPr>
      <w:bookmarkStart w:id="57" w:name="_Toc15396621"/>
      <w:r>
        <w:rPr>
          <w:rStyle w:val="2Char"/>
          <w:rFonts w:ascii="仿宋" w:eastAsia="仿宋" w:hAnsi="仿宋" w:hint="eastAsia"/>
          <w:b w:val="0"/>
          <w:bCs w:val="0"/>
        </w:rPr>
        <w:t>三、</w:t>
      </w:r>
      <w:r>
        <w:rPr>
          <w:rFonts w:ascii="仿宋" w:eastAsia="仿宋" w:hAnsi="仿宋" w:hint="eastAsia"/>
          <w:b w:val="0"/>
        </w:rPr>
        <w:t>支</w:t>
      </w:r>
      <w:r>
        <w:rPr>
          <w:rStyle w:val="2Char"/>
          <w:rFonts w:ascii="仿宋" w:eastAsia="仿宋" w:hAnsi="仿宋" w:hint="eastAsia"/>
          <w:b w:val="0"/>
          <w:bCs w:val="0"/>
        </w:rPr>
        <w:t>出决算表</w:t>
      </w:r>
      <w:bookmarkEnd w:id="57"/>
    </w:p>
    <w:p>
      <w:pPr>
        <w:pStyle w:val="2"/>
        <w:rPr>
          <w:rFonts w:ascii="仿宋" w:eastAsia="仿宋" w:hAnsi="仿宋"/>
          <w:b w:val="0"/>
        </w:rPr>
      </w:pPr>
      <w:bookmarkStart w:id="58" w:name="_Toc15396622"/>
      <w:r>
        <w:rPr>
          <w:rStyle w:val="2Char"/>
          <w:rFonts w:ascii="仿宋" w:eastAsia="仿宋" w:hAnsi="仿宋" w:hint="eastAsia"/>
          <w:b w:val="0"/>
          <w:bCs w:val="0"/>
        </w:rPr>
        <w:t>四、</w:t>
      </w:r>
      <w:r>
        <w:rPr>
          <w:rFonts w:ascii="仿宋" w:eastAsia="仿宋" w:hAnsi="仿宋" w:hint="eastAsia"/>
          <w:b w:val="0"/>
        </w:rPr>
        <w:t>财</w:t>
      </w:r>
      <w:r>
        <w:rPr>
          <w:rStyle w:val="2Char"/>
          <w:rFonts w:ascii="仿宋" w:eastAsia="仿宋" w:hAnsi="仿宋" w:hint="eastAsia"/>
          <w:b w:val="0"/>
          <w:bCs w:val="0"/>
        </w:rPr>
        <w:t>政拨款收入支出决算总表</w:t>
      </w:r>
      <w:bookmarkEnd w:id="58"/>
    </w:p>
    <w:p>
      <w:pPr>
        <w:pStyle w:val="2"/>
        <w:rPr>
          <w:rStyle w:val="2Char"/>
          <w:rFonts w:ascii="仿宋" w:eastAsia="仿宋" w:hAnsi="仿宋"/>
          <w:b w:val="0"/>
          <w:bCs w:val="0"/>
        </w:rPr>
      </w:pPr>
      <w:bookmarkStart w:id="59" w:name="_Toc15396623"/>
      <w:r>
        <w:rPr>
          <w:rStyle w:val="2Char"/>
          <w:rFonts w:ascii="仿宋" w:eastAsia="仿宋" w:hAnsi="仿宋" w:hint="eastAsia"/>
          <w:b w:val="0"/>
          <w:bCs w:val="0"/>
        </w:rPr>
        <w:t>五、</w:t>
      </w:r>
      <w:r>
        <w:rPr>
          <w:rFonts w:ascii="仿宋" w:eastAsia="仿宋" w:hAnsi="仿宋" w:hint="eastAsia"/>
          <w:b w:val="0"/>
        </w:rPr>
        <w:t>财</w:t>
      </w:r>
      <w:r>
        <w:rPr>
          <w:rStyle w:val="2Char"/>
          <w:rFonts w:ascii="仿宋" w:eastAsia="仿宋" w:hAnsi="仿宋" w:hint="eastAsia"/>
          <w:b w:val="0"/>
          <w:bCs w:val="0"/>
        </w:rPr>
        <w:t>政拨款支出决算明细表</w:t>
      </w:r>
      <w:bookmarkStart w:id="60" w:name="_Toc15396624"/>
      <w:bookmarkEnd w:id="59"/>
    </w:p>
    <w:p>
      <w:pPr>
        <w:pStyle w:val="2"/>
        <w:rPr>
          <w:rFonts w:ascii="仿宋" w:eastAsia="仿宋" w:hAnsi="仿宋"/>
        </w:rPr>
      </w:pPr>
      <w:r>
        <w:rPr>
          <w:rStyle w:val="2Char"/>
          <w:rFonts w:ascii="仿宋" w:eastAsia="仿宋" w:hAnsi="仿宋" w:hint="eastAsia"/>
          <w:b w:val="0"/>
          <w:bCs w:val="0"/>
        </w:rPr>
        <w:t>六、</w:t>
      </w:r>
      <w:r>
        <w:rPr>
          <w:rFonts w:ascii="仿宋" w:eastAsia="仿宋" w:hAnsi="仿宋" w:hint="eastAsia"/>
          <w:b w:val="0"/>
        </w:rPr>
        <w:t>一</w:t>
      </w:r>
      <w:r>
        <w:rPr>
          <w:rStyle w:val="2Char"/>
          <w:rFonts w:ascii="仿宋" w:eastAsia="仿宋" w:hAnsi="仿宋" w:hint="eastAsia"/>
          <w:b w:val="0"/>
          <w:bCs w:val="0"/>
        </w:rPr>
        <w:t>般公共预算财政拨款支出决算表</w:t>
      </w:r>
      <w:bookmarkEnd w:id="60"/>
    </w:p>
    <w:p>
      <w:pPr>
        <w:pStyle w:val="2"/>
        <w:rPr>
          <w:rFonts w:ascii="仿宋" w:eastAsia="仿宋" w:hAnsi="仿宋"/>
        </w:rPr>
      </w:pPr>
      <w:bookmarkStart w:id="61" w:name="_Toc15396625"/>
      <w:r>
        <w:rPr>
          <w:rStyle w:val="2Char"/>
          <w:rFonts w:ascii="仿宋" w:eastAsia="仿宋" w:hAnsi="仿宋" w:hint="eastAsia"/>
          <w:b w:val="0"/>
          <w:bCs w:val="0"/>
        </w:rPr>
        <w:t>七、</w:t>
      </w:r>
      <w:r>
        <w:rPr>
          <w:rFonts w:ascii="仿宋" w:eastAsia="仿宋" w:hAnsi="仿宋" w:hint="eastAsia"/>
          <w:b w:val="0"/>
        </w:rPr>
        <w:t>一</w:t>
      </w:r>
      <w:r>
        <w:rPr>
          <w:rStyle w:val="2Char"/>
          <w:rFonts w:ascii="仿宋" w:eastAsia="仿宋" w:hAnsi="仿宋" w:hint="eastAsia"/>
          <w:b w:val="0"/>
          <w:bCs w:val="0"/>
        </w:rPr>
        <w:t>般公共预算财政拨款支出决算明细表</w:t>
      </w:r>
      <w:bookmarkEnd w:id="61"/>
    </w:p>
    <w:p>
      <w:pPr>
        <w:pStyle w:val="2"/>
        <w:rPr>
          <w:rFonts w:ascii="仿宋" w:eastAsia="仿宋" w:hAnsi="仿宋"/>
        </w:rPr>
      </w:pPr>
      <w:bookmarkStart w:id="62" w:name="_Toc15396626"/>
      <w:r>
        <w:rPr>
          <w:rStyle w:val="2Char"/>
          <w:rFonts w:ascii="仿宋" w:eastAsia="仿宋" w:hAnsi="仿宋" w:hint="eastAsia"/>
          <w:b w:val="0"/>
          <w:bCs w:val="0"/>
        </w:rPr>
        <w:t>八、</w:t>
      </w:r>
      <w:r>
        <w:rPr>
          <w:rFonts w:ascii="仿宋" w:eastAsia="仿宋" w:hAnsi="仿宋" w:hint="eastAsia"/>
          <w:b w:val="0"/>
        </w:rPr>
        <w:t>一</w:t>
      </w:r>
      <w:r>
        <w:rPr>
          <w:rStyle w:val="2Char"/>
          <w:rFonts w:ascii="仿宋" w:eastAsia="仿宋" w:hAnsi="仿宋" w:hint="eastAsia"/>
          <w:b w:val="0"/>
          <w:bCs w:val="0"/>
        </w:rPr>
        <w:t>般公共预算财政拨款基本支出决算表</w:t>
      </w:r>
      <w:bookmarkEnd w:id="62"/>
    </w:p>
    <w:p>
      <w:pPr>
        <w:pStyle w:val="2"/>
        <w:rPr>
          <w:rFonts w:ascii="仿宋" w:eastAsia="仿宋" w:hAnsi="仿宋"/>
        </w:rPr>
      </w:pPr>
      <w:bookmarkStart w:id="63" w:name="_Toc15396627"/>
      <w:r>
        <w:rPr>
          <w:rStyle w:val="2Char"/>
          <w:rFonts w:ascii="仿宋" w:eastAsia="仿宋" w:hAnsi="仿宋" w:hint="eastAsia"/>
          <w:b w:val="0"/>
          <w:bCs w:val="0"/>
        </w:rPr>
        <w:t>九、</w:t>
      </w:r>
      <w:r>
        <w:rPr>
          <w:rFonts w:ascii="仿宋" w:eastAsia="仿宋" w:hAnsi="仿宋" w:hint="eastAsia"/>
          <w:b w:val="0"/>
        </w:rPr>
        <w:t>一</w:t>
      </w:r>
      <w:r>
        <w:rPr>
          <w:rStyle w:val="2Char"/>
          <w:rFonts w:ascii="仿宋" w:eastAsia="仿宋" w:hAnsi="仿宋" w:hint="eastAsia"/>
          <w:b w:val="0"/>
          <w:bCs w:val="0"/>
        </w:rPr>
        <w:t>般公共预算财政拨款项目支出决算表</w:t>
      </w:r>
      <w:bookmarkEnd w:id="63"/>
    </w:p>
    <w:p>
      <w:pPr>
        <w:pStyle w:val="2"/>
        <w:rPr>
          <w:rFonts w:ascii="仿宋" w:eastAsia="仿宋" w:hAnsi="仿宋"/>
        </w:rPr>
      </w:pPr>
      <w:bookmarkStart w:id="64" w:name="_Toc15396628"/>
      <w:r>
        <w:rPr>
          <w:rStyle w:val="2Char"/>
          <w:rFonts w:ascii="仿宋" w:eastAsia="仿宋" w:hAnsi="仿宋" w:hint="eastAsia"/>
          <w:b w:val="0"/>
          <w:bCs w:val="0"/>
        </w:rPr>
        <w:t>十、</w:t>
      </w:r>
      <w:bookmarkEnd w:id="64"/>
      <w:r>
        <w:rPr>
          <w:rFonts w:ascii="仿宋" w:eastAsia="仿宋" w:hAnsi="仿宋" w:hint="eastAsia"/>
          <w:b w:val="0"/>
        </w:rPr>
        <w:t>政</w:t>
      </w:r>
      <w:r>
        <w:rPr>
          <w:rStyle w:val="2Char"/>
          <w:rFonts w:ascii="仿宋" w:eastAsia="仿宋" w:hAnsi="仿宋" w:hint="eastAsia"/>
          <w:b w:val="0"/>
          <w:bCs w:val="0"/>
        </w:rPr>
        <w:t>府性基金预算财政拨款收入支出决算表</w:t>
      </w:r>
      <w:r>
        <w:rPr>
          <w:rStyle w:val="2Char"/>
          <w:rFonts w:ascii="仿宋" w:eastAsia="仿宋" w:hAnsi="仿宋"/>
          <w:b w:val="0"/>
          <w:bCs w:val="0"/>
        </w:rPr>
        <w:t>（此表无数据）</w:t>
      </w:r>
    </w:p>
    <w:p>
      <w:pPr>
        <w:pStyle w:val="2"/>
        <w:rPr>
          <w:rFonts w:ascii="仿宋" w:eastAsia="仿宋" w:hAnsi="仿宋"/>
        </w:rPr>
      </w:pPr>
      <w:bookmarkStart w:id="65" w:name="_Toc15396629"/>
      <w:r>
        <w:rPr>
          <w:rStyle w:val="2Char"/>
          <w:rFonts w:ascii="仿宋" w:eastAsia="仿宋" w:hAnsi="仿宋" w:hint="eastAsia"/>
          <w:b w:val="0"/>
          <w:bCs w:val="0"/>
        </w:rPr>
        <w:t>十一、</w:t>
      </w:r>
      <w:bookmarkEnd w:id="65"/>
      <w:r>
        <w:rPr>
          <w:rFonts w:ascii="仿宋" w:eastAsia="仿宋" w:hAnsi="仿宋" w:hint="eastAsia"/>
          <w:b w:val="0"/>
        </w:rPr>
        <w:t>国</w:t>
      </w:r>
      <w:r>
        <w:rPr>
          <w:rStyle w:val="2Char"/>
          <w:rFonts w:ascii="仿宋" w:eastAsia="仿宋" w:hAnsi="仿宋" w:hint="eastAsia"/>
          <w:b w:val="0"/>
          <w:bCs w:val="0"/>
        </w:rPr>
        <w:t>有资本经营预算财政拨款收入支出决算表</w:t>
      </w:r>
      <w:r>
        <w:rPr>
          <w:rStyle w:val="2Char"/>
          <w:rFonts w:ascii="仿宋" w:eastAsia="仿宋" w:hAnsi="仿宋"/>
          <w:b w:val="0"/>
          <w:bCs w:val="0"/>
        </w:rPr>
        <w:t>（此表无数据）</w:t>
      </w:r>
    </w:p>
    <w:p>
      <w:pPr>
        <w:pStyle w:val="2"/>
        <w:rPr>
          <w:rFonts w:ascii="仿宋" w:eastAsia="仿宋" w:hAnsi="仿宋"/>
        </w:rPr>
      </w:pPr>
      <w:bookmarkStart w:id="66" w:name="_Toc15396630"/>
      <w:r>
        <w:rPr>
          <w:rStyle w:val="2Char"/>
          <w:rFonts w:ascii="仿宋" w:eastAsia="仿宋" w:hAnsi="仿宋" w:hint="eastAsia"/>
          <w:b w:val="0"/>
          <w:bCs w:val="0"/>
        </w:rPr>
        <w:t>十二、</w:t>
      </w:r>
      <w:bookmarkEnd w:id="66"/>
      <w:r>
        <w:rPr>
          <w:rStyle w:val="2Char"/>
          <w:rFonts w:ascii="仿宋" w:eastAsia="仿宋" w:hAnsi="仿宋" w:hint="eastAsia"/>
          <w:b w:val="0"/>
          <w:bCs w:val="0"/>
        </w:rPr>
        <w:t>国有资本经营预算财政拨款支出决算表</w:t>
      </w:r>
      <w:r>
        <w:rPr>
          <w:rStyle w:val="2Char"/>
          <w:rFonts w:ascii="仿宋" w:eastAsia="仿宋" w:hAnsi="仿宋"/>
          <w:b w:val="0"/>
          <w:bCs w:val="0"/>
        </w:rPr>
        <w:t>（此表无数据）</w:t>
      </w:r>
    </w:p>
    <w:p>
      <w:pPr>
        <w:pStyle w:val="2"/>
        <w:rPr>
          <w:rFonts w:eastAsia="仿宋"/>
        </w:rPr>
      </w:pPr>
      <w:bookmarkStart w:id="67" w:name="_Toc15396631"/>
      <w:r>
        <w:rPr>
          <w:rStyle w:val="2Char"/>
          <w:rFonts w:ascii="仿宋" w:eastAsia="仿宋" w:hAnsi="仿宋" w:hint="eastAsia"/>
          <w:b w:val="0"/>
          <w:bCs w:val="0"/>
        </w:rPr>
        <w:t>十三、</w:t>
      </w:r>
      <w:bookmarkEnd w:id="67"/>
      <w:r>
        <w:rPr>
          <w:rStyle w:val="2Char"/>
          <w:rFonts w:ascii="仿宋" w:eastAsia="仿宋" w:hAnsi="仿宋" w:hint="eastAsia"/>
          <w:b w:val="0"/>
          <w:bCs w:val="0"/>
        </w:rPr>
        <w:t>财政拨款“三公”经费支出决算表</w:t>
      </w:r>
      <w:r>
        <w:rPr>
          <w:rStyle w:val="2Char"/>
          <w:rFonts w:ascii="仿宋" w:eastAsia="仿宋" w:hAnsi="仿宋"/>
          <w:b w:val="0"/>
          <w:bCs w:val="0"/>
        </w:rPr>
        <w:t>（此表无数据）</w:t>
      </w:r>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00007A87" w:usb1="80000000" w:usb2="00000008" w:usb3="00000000" w:csb0="400001FF" w:csb1="FFFF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1"/>
    <w:family w:val="auto"/>
    <w:pitch w:val="variable"/>
    <w:sig w:usb0="E0002EFF" w:usb1="C000785B" w:usb2="00000009" w:usb3="00000000" w:csb0="400001FF" w:csb1="FFFF0000"/>
  </w:font>
  <w:font w:name="Calibri">
    <w:panose1 w:val="020F0502020204030204"/>
    <w:charset w:val="00"/>
    <w:family w:val="swiss"/>
    <w:pitch w:val="variable"/>
    <w:sig w:usb0="A00002EF" w:usb1="4000207B" w:usb2="00000000" w:usb3="00000000" w:csb0="2000009F" w:csb1="00000000"/>
  </w:font>
  <w:font w:name="Lucida Sans">
    <w:panose1 w:val="020B0602030504020204"/>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52488914"/>
    </w:sdtPr>
    <w:sdtContent>
      <w:p>
        <w:pPr>
          <w:pStyle w:val="18"/>
          <w:tabs>
            <w:tab w:val="center" w:pos="4153"/>
            <w:tab w:val="right" w:pos="8306"/>
          </w:tabs>
          <w:jc w:val="center"/>
        </w:pPr>
        <w:r>
          <w:fldChar w:fldCharType="begin"/>
        </w:r>
        <w:r>
          <w:instrText>PAGE   \* MERGEFORMAT</w:instrText>
        </w:r>
        <w:r>
          <w:fldChar w:fldCharType="separate"/>
        </w:r>
        <w:r>
          <w:rPr>
            <w:lang w:val="zh-CN"/>
          </w:rPr>
          <w:t>15</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2021年</c:v>
                </c:pt>
              </c:strCache>
            </c:strRef>
          </c:tx>
          <c:spPr>
            <a:solidFill>
              <a:srgbClr val="4F81BD"/>
            </a:solidFill>
            <a:ln>
              <a:noFill/>
            </a:ln>
          </c:spPr>
          <c:invertIfNegative val="0"/>
          <c:dLbls>
            <c:showLegendKey val="0"/>
            <c:showVal val="0"/>
            <c:showCatName val="0"/>
            <c:showSerName val="0"/>
            <c:showPercent val="0"/>
            <c:showBubbleSize val="0"/>
            <c:showLeaderLines val="0"/>
          </c:dLbls>
          <c:cat>
            <c:strRef>
              <c:f>'Sheet1'!$A$2:$A$3</c:f>
              <c:strCache>
                <c:ptCount val="2"/>
                <c:pt idx="0">
                  <c:v>收入总计</c:v>
                </c:pt>
                <c:pt idx="1">
                  <c:v>支出总计</c:v>
                </c:pt>
              </c:strCache>
            </c:strRef>
          </c:cat>
          <c:val>
            <c:numRef>
              <c:f>'Sheet1'!$B$2:$B$3</c:f>
              <c:numCache>
                <c:formatCode>General</c:formatCode>
                <c:ptCount val="2"/>
                <c:pt idx="0">
                  <c:v>290.27</c:v>
                </c:pt>
                <c:pt idx="1">
                  <c:v>290.27</c:v>
                </c:pt>
              </c:numCache>
            </c:numRef>
          </c:val>
        </c:ser>
        <c:ser>
          <c:idx val="1"/>
          <c:order val="1"/>
          <c:tx>
            <c:strRef>
              <c:f>'Sheet1'!$C$1</c:f>
              <c:strCache>
                <c:ptCount val="1"/>
                <c:pt idx="0">
                  <c:v>2022年</c:v>
                </c:pt>
              </c:strCache>
            </c:strRef>
          </c:tx>
          <c:spPr>
            <a:solidFill>
              <a:srgbClr val="C0504D"/>
            </a:solidFill>
            <a:ln>
              <a:noFill/>
            </a:ln>
          </c:spPr>
          <c:invertIfNegative val="0"/>
          <c:dLbls>
            <c:showLegendKey val="0"/>
            <c:showVal val="0"/>
            <c:showCatName val="0"/>
            <c:showSerName val="0"/>
            <c:showPercent val="0"/>
            <c:showBubbleSize val="0"/>
            <c:showLeaderLines val="0"/>
          </c:dLbls>
          <c:cat>
            <c:strRef>
              <c:f>'Sheet1'!$A$2:$A$3</c:f>
              <c:strCache>
                <c:ptCount val="2"/>
                <c:pt idx="0">
                  <c:v>收入总计</c:v>
                </c:pt>
                <c:pt idx="1">
                  <c:v>支出总计</c:v>
                </c:pt>
              </c:strCache>
            </c:strRef>
          </c:cat>
          <c:val>
            <c:numRef>
              <c:f>'Sheet1'!$C$2:$C$3</c:f>
              <c:numCache>
                <c:formatCode>General</c:formatCode>
                <c:ptCount val="2"/>
                <c:pt idx="0">
                  <c:v>229.69</c:v>
                </c:pt>
                <c:pt idx="1">
                  <c:v>229.69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(2)'!$B$1</c:f>
              <c:strCache>
                <c:ptCount val="1"/>
                <c:pt idx="0">
                  <c:v>本年收入</c:v>
                </c:pt>
              </c:strCache>
            </c:strRef>
          </c:tx>
          <c:spPr>
            <a:solidFill>
              <a:srgbClr val="4F81BD"/>
            </a:solidFill>
            <a:ln>
              <a:noFill/>
            </a:ln>
          </c:spPr>
          <c:dPt>
            <c:idx val="0"/>
            <c:bubble3D val="0"/>
            <c:spPr>
              <a:solidFill>
                <a:srgbClr val="4F81BD"/>
              </a:solidFill>
              <a:ln w="19050">
                <a:solidFill>
                  <a:srgbClr val="FFFFFF"/>
                </a:solidFill>
                <a:prstDash val="solid"/>
              </a:ln>
            </c:spPr>
          </c:dPt>
          <c:dLbls>
            <c:showLegendKey val="0"/>
            <c:showVal val="0"/>
            <c:showCatName val="0"/>
            <c:showSerName val="0"/>
            <c:showPercent val="0"/>
            <c:showBubbleSize val="0"/>
            <c:showLeaderLines val="1"/>
          </c:dLbls>
          <c:cat>
            <c:strRef>
              <c:f>'Sheet1 (2)'!$A$2</c:f>
              <c:strCache>
                <c:ptCount val="1"/>
                <c:pt idx="0">
                  <c:v>一般公共预算财政拨款收入</c:v>
                </c:pt>
              </c:strCache>
            </c:strRef>
          </c:cat>
          <c:val>
            <c:numRef>
              <c:f>Sheet1 (2)!$B$2</c:f>
              <c:numCache>
                <c:formatCode>General</c:formatCode>
                <c:ptCount val="1"/>
                <c:pt idx="0">
                  <c:v>224.87</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本年支出</a:t>
            </a:r>
          </a:p>
        </c:rich>
      </c:tx>
      <c:layout/>
      <c:overlay val="0"/>
      <c:spPr>
        <a:noFill/>
        <a:ln>
          <a:noFill/>
        </a:ln>
      </c:spPr>
    </c:title>
    <c:autoTitleDeleted val="1"/>
    <c:plotArea>
      <c:layout/>
      <c:pieChart>
        <c:varyColors val="0"/>
        <c:ser>
          <c:idx val="0"/>
          <c:order val="0"/>
          <c:tx>
            <c:strRef>
              <c:f>'Sheet1 (3)'!$B$1</c:f>
              <c:strCache>
                <c:ptCount val="1"/>
                <c:pt idx="0">
                  <c:v>本年支出</c:v>
                </c:pt>
              </c:strCache>
            </c:strRef>
          </c:tx>
          <c:spPr>
            <a:solidFill>
              <a:srgbClr val="4F81BD"/>
            </a:solidFill>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howLegendKey val="0"/>
            <c:showVal val="0"/>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219.64</c:v>
                </c:pt>
                <c:pt idx="1">
                  <c:v>10.05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 (4)'!$B$1</c:f>
              <c:strCache>
                <c:ptCount val="1"/>
                <c:pt idx="0">
                  <c:v>2021年</c:v>
                </c:pt>
              </c:strCache>
            </c:strRef>
          </c:tx>
          <c:spPr>
            <a:solidFill>
              <a:srgbClr val="4F81BD"/>
            </a:solidFill>
            <a:ln>
              <a:noFill/>
            </a:ln>
          </c:spPr>
          <c:invertIfNegative val="0"/>
          <c:dLbls>
            <c:showLegendKey val="0"/>
            <c:showVal val="0"/>
            <c:showCatName val="0"/>
            <c:showSerName val="0"/>
            <c:showPercent val="0"/>
            <c:showBubbleSize val="0"/>
            <c:showLeaderLines val="0"/>
          </c:dLbls>
          <c:cat>
            <c:strRef>
              <c:f>'Sheet1 (4)'!$A$2:$A$3</c:f>
              <c:strCache>
                <c:ptCount val="2"/>
                <c:pt idx="0">
                  <c:v>财政拨款收入总计</c:v>
                </c:pt>
                <c:pt idx="1">
                  <c:v>财政拨款支出总计</c:v>
                </c:pt>
              </c:strCache>
            </c:strRef>
          </c:cat>
          <c:val>
            <c:numRef>
              <c:f>'Sheet1 (4)'!$B$2:$B$3</c:f>
              <c:numCache>
                <c:formatCode>General</c:formatCode>
                <c:ptCount val="2"/>
                <c:pt idx="0">
                  <c:v>290.27</c:v>
                </c:pt>
                <c:pt idx="1">
                  <c:v>290.27</c:v>
                </c:pt>
              </c:numCache>
            </c:numRef>
          </c:val>
        </c:ser>
        <c:ser>
          <c:idx val="1"/>
          <c:order val="1"/>
          <c:tx>
            <c:strRef>
              <c:f>'Sheet1 (4)'!$C$1</c:f>
              <c:strCache>
                <c:ptCount val="1"/>
                <c:pt idx="0">
                  <c:v>2022年</c:v>
                </c:pt>
              </c:strCache>
            </c:strRef>
          </c:tx>
          <c:spPr>
            <a:solidFill>
              <a:srgbClr val="C0504D"/>
            </a:solidFill>
            <a:ln>
              <a:noFill/>
            </a:ln>
          </c:spPr>
          <c:invertIfNegative val="0"/>
          <c:dLbls>
            <c:showLegendKey val="0"/>
            <c:showVal val="0"/>
            <c:showCatName val="0"/>
            <c:showSerName val="0"/>
            <c:showPercent val="0"/>
            <c:showBubbleSize val="0"/>
            <c:showLeaderLines val="0"/>
          </c:dLbls>
          <c:cat>
            <c:strRef>
              <c:f>'Sheet1 (4)'!$A$2:$A$3</c:f>
              <c:strCache>
                <c:ptCount val="2"/>
                <c:pt idx="0">
                  <c:v>财政拨款收入总计</c:v>
                </c:pt>
                <c:pt idx="1">
                  <c:v>财政拨款支出总计</c:v>
                </c:pt>
              </c:strCache>
            </c:strRef>
          </c:cat>
          <c:val>
            <c:numRef>
              <c:f>'Sheet1 (4)'!$C$2:$C$3</c:f>
              <c:numCache>
                <c:formatCode>General</c:formatCode>
                <c:ptCount val="2"/>
                <c:pt idx="0">
                  <c:v>229.69</c:v>
                </c:pt>
                <c:pt idx="1">
                  <c:v>229.69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 (5)'!$A$2</c:f>
              <c:strCache>
                <c:ptCount val="1"/>
                <c:pt idx="0">
                  <c:v>一般公共预算财政拨款支出</c:v>
                </c:pt>
              </c:strCache>
            </c:strRef>
          </c:tx>
          <c:spPr>
            <a:solidFill>
              <a:srgbClr val="4F81BD"/>
            </a:solidFill>
            <a:ln>
              <a:noFill/>
            </a:ln>
          </c:spPr>
          <c:invertIfNegative val="0"/>
          <c:dLbls>
            <c:showLegendKey val="0"/>
            <c:showVal val="0"/>
            <c:showCatName val="0"/>
            <c:showSerName val="0"/>
            <c:showPercent val="0"/>
            <c:showBubbleSize val="0"/>
            <c:showLeaderLines val="0"/>
          </c:dLbls>
          <c:cat>
            <c:strRef>
              <c:f>'Sheet1 (5)'!$B$1:$C$1</c:f>
              <c:strCache>
                <c:ptCount val="2"/>
                <c:pt idx="0">
                  <c:v>2021年</c:v>
                </c:pt>
                <c:pt idx="1">
                  <c:v>2022年</c:v>
                </c:pt>
              </c:strCache>
            </c:strRef>
          </c:cat>
          <c:val>
            <c:numRef>
              <c:f>'Sheet1 (5)'!$B$2:$C$2</c:f>
              <c:numCache>
                <c:formatCode>General</c:formatCode>
                <c:ptCount val="2"/>
                <c:pt idx="0">
                  <c:v>290.27</c:v>
                </c:pt>
                <c:pt idx="1">
                  <c:v>229.69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(6)'!$B$1</c:f>
              <c:strCache>
                <c:ptCount val="1"/>
                <c:pt idx="0">
                  <c:v>一般公共预算财政拨款支出</c:v>
                </c:pt>
              </c:strCache>
            </c:strRef>
          </c:tx>
          <c:spPr>
            <a:solidFill>
              <a:srgbClr val="4F81BD"/>
            </a:solidFill>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showLegendKey val="0"/>
            <c:showVal val="0"/>
            <c:showCatName val="0"/>
            <c:showSerName val="0"/>
            <c:showPercent val="0"/>
            <c:showBubbleSize val="0"/>
            <c:showLeaderLines val="1"/>
          </c:dLbls>
          <c:cat>
            <c:strRef>
              <c:f>'Sheet1 (6)'!$A$2:$A$5</c:f>
              <c:strCache>
                <c:ptCount val="4"/>
                <c:pt idx="0">
                  <c:v>一般公共服务支出</c:v>
                </c:pt>
                <c:pt idx="1">
                  <c:v>科学技术支出</c:v>
                </c:pt>
                <c:pt idx="2">
                  <c:v>社会保障和就业支出</c:v>
                </c:pt>
                <c:pt idx="3">
                  <c:v>住房保障支出</c:v>
                </c:pt>
              </c:strCache>
            </c:strRef>
          </c:cat>
          <c:val>
            <c:numRef>
              <c:f>'Sheet1 (6)'!$B$2:$B$5</c:f>
              <c:numCache>
                <c:formatCode>General</c:formatCode>
                <c:ptCount val="4"/>
                <c:pt idx="0">
                  <c:v>11.15</c:v>
                </c:pt>
                <c:pt idx="1">
                  <c:v>156.51</c:v>
                </c:pt>
                <c:pt idx="2">
                  <c:v>47.73</c:v>
                </c:pt>
                <c:pt idx="3">
                  <c:v>14.3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18FD88A-3119-4DB8-85BB-CB5B65012B1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226</TotalTime>
  <Application>Yozo_Office27021597764231179</Application>
  <Pages>18</Pages>
  <Words>0</Words>
  <Characters>3708</Characters>
  <Lines>0</Lines>
  <Paragraphs>186</Paragraphs>
  <CharactersWithSpaces>4945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41</cp:revision>
  <cp:lastPrinted>2023-07-31T10:35:00Z</cp:lastPrinted>
  <dcterms:created xsi:type="dcterms:W3CDTF">2020-08-05T09:49:00Z</dcterms:created>
  <dcterms:modified xsi:type="dcterms:W3CDTF">2023-09-13T02:02:47Z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2052-11.8.2.10422</vt:lpwstr>
  </property>
</Properties>
</file>