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bookmarkStart w:id="0" w:name="_Toc15306267"/>
    </w:p>
    <w:p/>
    <w:p/>
    <w:p/>
    <w:p>
      <w:pPr>
        <w:adjustRightInd w:val="0"/>
        <w:snapToGrid w:val="0"/>
        <w:spacing w:line="360" w:lineRule="auto"/>
        <w:ind w:firstLineChars="0" w:firstLine="0"/>
        <w:jc w:val="center"/>
        <w:outlineLvl w:val="0"/>
        <w:rPr>
          <w:rFonts w:ascii="黑体" w:eastAsia="黑体"/>
          <w:sz w:val="72"/>
          <w:szCs w:val="72"/>
        </w:rPr>
      </w:pPr>
      <w:bookmarkStart w:id="1" w:name="_Toc15396475"/>
      <w:bookmarkStart w:id="2" w:name="_Toc15377193"/>
      <w:bookmarkStart w:id="3" w:name="_Toc15378441"/>
      <w:bookmarkStart w:id="4" w:name="_Toc15377425"/>
      <w:bookmarkStart w:id="5" w:name="_Toc15396597"/>
      <w:r>
        <w:rPr>
          <w:rFonts w:ascii="黑体" w:eastAsia="黑体" w:hint="eastAsia"/>
          <w:sz w:val="72"/>
          <w:szCs w:val="72"/>
        </w:rPr>
        <w:t>2019年度</w:t>
      </w:r>
      <w:bookmarkEnd w:id="1"/>
      <w:bookmarkEnd w:id="2"/>
      <w:bookmarkEnd w:id="3"/>
      <w:bookmarkEnd w:id="4"/>
      <w:bookmarkEnd w:id="5"/>
    </w:p>
    <w:p>
      <w:pPr>
        <w:adjustRightInd w:val="0"/>
        <w:snapToGrid w:val="0"/>
        <w:spacing w:line="360" w:lineRule="auto"/>
        <w:ind w:firstLineChars="0" w:firstLine="0"/>
        <w:jc w:val="center"/>
        <w:outlineLvl w:val="0"/>
        <w:rPr>
          <w:rFonts w:ascii="黑体" w:eastAsia="黑体"/>
          <w:sz w:val="72"/>
          <w:szCs w:val="72"/>
        </w:rPr>
      </w:pPr>
      <w:bookmarkStart w:id="6" w:name="_Toc15377194"/>
      <w:bookmarkStart w:id="7" w:name="_Toc15396598"/>
      <w:bookmarkStart w:id="8" w:name="_Toc15396476"/>
      <w:bookmarkStart w:id="9" w:name="_Toc15377426"/>
      <w:bookmarkStart w:id="10" w:name="_Toc15378442"/>
      <w:r>
        <w:rPr>
          <w:rFonts w:ascii="黑体" w:eastAsia="黑体" w:hint="eastAsia"/>
          <w:sz w:val="72"/>
          <w:szCs w:val="72"/>
        </w:rPr>
        <w:t>四川省</w:t>
      </w:r>
      <w:bookmarkStart w:id="11" w:name="_Toc15306268"/>
      <w:bookmarkEnd w:id="0"/>
      <w:r>
        <w:rPr>
          <w:rFonts w:ascii="黑体" w:eastAsia="黑体" w:hint="eastAsia"/>
          <w:sz w:val="72"/>
          <w:szCs w:val="72"/>
        </w:rPr>
        <w:t>攀枝花市生态环境局部门决算</w:t>
      </w:r>
      <w:bookmarkStart w:id="12" w:name="_GoBack"/>
      <w:bookmarkEnd w:id="6"/>
      <w:bookmarkEnd w:id="7"/>
      <w:bookmarkEnd w:id="8"/>
      <w:bookmarkEnd w:id="9"/>
      <w:bookmarkEnd w:id="10"/>
      <w:bookmarkEnd w:id="11"/>
      <w:bookmarkEnd w:id="12"/>
    </w:p>
    <w:p>
      <w:pPr>
        <w:adjustRightInd w:val="0"/>
        <w:snapToGrid w:val="0"/>
        <w:spacing w:line="360" w:lineRule="auto"/>
        <w:ind w:firstLineChars="0" w:firstLine="0"/>
        <w:jc w:val="center"/>
        <w:outlineLvl w:val="0"/>
        <w:rPr>
          <w:rFonts w:ascii="黑体" w:eastAsia="黑体"/>
          <w:sz w:val="72"/>
          <w:szCs w:val="72"/>
        </w:rPr>
      </w:pPr>
    </w:p>
    <w:p>
      <w:pPr>
        <w:widowControl/>
        <w:ind w:firstLineChars="0" w:firstLine="0"/>
        <w:jc w:val="center"/>
        <w:rPr>
          <w:rFonts w:ascii="黑体" w:eastAsia="黑体"/>
          <w:sz w:val="48"/>
          <w:szCs w:val="48"/>
        </w:rPr>
      </w:pPr>
      <w:r>
        <w:rPr>
          <w:rFonts w:ascii="方正小标宋简体" w:eastAsia="方正小标宋简体"/>
          <w:sz w:val="36"/>
          <w:szCs w:val="36"/>
        </w:rPr>
        <w:br w:type="page"/>
      </w:r>
      <w:r>
        <w:rPr>
          <w:rFonts w:ascii="黑体" w:eastAsia="黑体" w:hint="eastAsia"/>
          <w:sz w:val="48"/>
          <w:szCs w:val="48"/>
        </w:rPr>
        <w:t>目录</w:t>
      </w:r>
    </w:p>
    <w:p/>
    <w:p>
      <w:pPr>
        <w:pStyle w:val="21"/>
        <w:tabs>
          <w:tab w:val="right" w:leader="dot" w:pos="8296"/>
        </w:tabs>
      </w:pPr>
      <w:r>
        <w:rPr>
          <w:rFonts w:hint="eastAsia"/>
        </w:rPr>
        <w:t>公开时间：2020年9月 21 日</w:t>
      </w:r>
    </w:p>
    <w:p/>
    <w:p>
      <w:pPr>
        <w:pStyle w:val="21"/>
        <w:tabs>
          <w:tab w:val="right" w:leader="dot" w:pos="8296"/>
        </w:tabs>
        <w:jc w:val="left"/>
        <w:rPr>
          <w:rFonts w:cs="Arial"/>
          <w:sz w:val="24"/>
          <w:szCs w:val="24"/>
        </w:rPr>
      </w:pPr>
      <w:r>
        <w:rPr>
          <w:rFonts w:hint="eastAsia"/>
          <w:sz w:val="24"/>
          <w:szCs w:val="24"/>
        </w:rPr>
        <w:t>第一部分</w:t>
      </w:r>
      <w:r>
        <w:rPr>
          <w:sz w:val="24"/>
          <w:szCs w:val="24"/>
        </w:rPr>
        <w:t xml:space="preserve"> </w:t>
      </w:r>
      <w:r>
        <w:rPr>
          <w:rFonts w:hint="eastAsia"/>
          <w:sz w:val="24"/>
          <w:szCs w:val="24"/>
        </w:rPr>
        <w:t>部门概况…………………………………………………………3</w:t>
      </w:r>
    </w:p>
    <w:p>
      <w:pPr>
        <w:pStyle w:val="22"/>
        <w:tabs>
          <w:tab w:val="right" w:leader="dot" w:pos="8296"/>
        </w:tabs>
        <w:jc w:val="left"/>
        <w:rPr>
          <w:sz w:val="24"/>
          <w:szCs w:val="24"/>
        </w:rPr>
      </w:pPr>
      <w:r>
        <w:rPr>
          <w:rFonts w:hint="eastAsia"/>
          <w:sz w:val="24"/>
          <w:szCs w:val="24"/>
        </w:rPr>
        <w:t>一、基本职能及主要工作……………………………………………3</w:t>
      </w:r>
    </w:p>
    <w:p>
      <w:pPr>
        <w:pStyle w:val="22"/>
        <w:tabs>
          <w:tab w:val="right" w:leader="dot" w:pos="8296"/>
        </w:tabs>
        <w:jc w:val="left"/>
        <w:rPr>
          <w:rFonts w:cs="Arial"/>
          <w:sz w:val="24"/>
          <w:szCs w:val="24"/>
        </w:rPr>
      </w:pPr>
      <w:r>
        <w:rPr>
          <w:rFonts w:hint="eastAsia"/>
          <w:sz w:val="24"/>
          <w:szCs w:val="24"/>
        </w:rPr>
        <w:t>二、机构设置…………………………………………………………11</w:t>
      </w:r>
    </w:p>
    <w:p>
      <w:pPr>
        <w:pStyle w:val="21"/>
        <w:tabs>
          <w:tab w:val="right" w:leader="dot" w:pos="8296"/>
        </w:tabs>
        <w:jc w:val="left"/>
        <w:rPr>
          <w:sz w:val="24"/>
          <w:szCs w:val="24"/>
        </w:rPr>
      </w:pPr>
      <w:r>
        <w:rPr>
          <w:rFonts w:hint="eastAsia"/>
          <w:sz w:val="24"/>
          <w:szCs w:val="24"/>
        </w:rPr>
        <w:t>第二部分度部门决算情况说明……………………………………………13</w:t>
      </w:r>
    </w:p>
    <w:p>
      <w:pPr>
        <w:pStyle w:val="22"/>
        <w:tabs>
          <w:tab w:val="right" w:leader="dot" w:pos="8296"/>
        </w:tabs>
        <w:jc w:val="left"/>
        <w:rPr>
          <w:rFonts w:cs="Arial"/>
          <w:sz w:val="24"/>
          <w:szCs w:val="24"/>
        </w:rPr>
      </w:pPr>
      <w:r>
        <w:rPr>
          <w:rFonts w:hint="eastAsia"/>
          <w:sz w:val="24"/>
          <w:szCs w:val="24"/>
        </w:rPr>
        <w:t>一、收入支出决算总体情况说明……………………………………13</w:t>
      </w:r>
    </w:p>
    <w:p>
      <w:pPr>
        <w:pStyle w:val="22"/>
        <w:tabs>
          <w:tab w:val="right" w:leader="dot" w:pos="8296"/>
        </w:tabs>
        <w:jc w:val="left"/>
        <w:rPr>
          <w:rFonts w:cs="Arial"/>
          <w:sz w:val="24"/>
          <w:szCs w:val="24"/>
        </w:rPr>
      </w:pPr>
      <w:r>
        <w:rPr>
          <w:rFonts w:hint="eastAsia"/>
          <w:sz w:val="24"/>
          <w:szCs w:val="24"/>
        </w:rPr>
        <w:t>二、收入决算情况说明………………………………………………13</w:t>
      </w:r>
    </w:p>
    <w:p>
      <w:pPr>
        <w:pStyle w:val="22"/>
        <w:tabs>
          <w:tab w:val="right" w:leader="dot" w:pos="8296"/>
        </w:tabs>
        <w:jc w:val="left"/>
        <w:rPr>
          <w:rFonts w:cs="Arial"/>
          <w:sz w:val="24"/>
          <w:szCs w:val="24"/>
        </w:rPr>
      </w:pPr>
      <w:r>
        <w:rPr>
          <w:rFonts w:hint="eastAsia"/>
          <w:sz w:val="24"/>
          <w:szCs w:val="24"/>
        </w:rPr>
        <w:t>三、支出决算情况说明………………………………………………14</w:t>
      </w:r>
    </w:p>
    <w:p>
      <w:pPr>
        <w:pStyle w:val="22"/>
        <w:tabs>
          <w:tab w:val="right" w:leader="dot" w:pos="8296"/>
        </w:tabs>
        <w:jc w:val="left"/>
        <w:rPr>
          <w:rFonts w:cs="Arial"/>
          <w:sz w:val="24"/>
          <w:szCs w:val="24"/>
        </w:rPr>
      </w:pPr>
      <w:r>
        <w:rPr>
          <w:rFonts w:hint="eastAsia"/>
          <w:sz w:val="24"/>
          <w:szCs w:val="24"/>
        </w:rPr>
        <w:t>四、财政拨款收入支出决算总体情况说明…………………………14</w:t>
      </w:r>
    </w:p>
    <w:p>
      <w:pPr>
        <w:pStyle w:val="22"/>
        <w:tabs>
          <w:tab w:val="right" w:leader="dot" w:pos="8296"/>
        </w:tabs>
        <w:jc w:val="left"/>
        <w:rPr>
          <w:rFonts w:cs="Arial"/>
          <w:sz w:val="24"/>
          <w:szCs w:val="24"/>
        </w:rPr>
      </w:pPr>
      <w:r>
        <w:rPr>
          <w:rFonts w:hint="eastAsia"/>
          <w:sz w:val="24"/>
          <w:szCs w:val="24"/>
        </w:rPr>
        <w:t>五、一般公共预算财政拨款支出决算情况说明……………………15</w:t>
      </w:r>
    </w:p>
    <w:p>
      <w:pPr>
        <w:pStyle w:val="22"/>
        <w:tabs>
          <w:tab w:val="right" w:leader="dot" w:pos="8296"/>
        </w:tabs>
        <w:jc w:val="left"/>
        <w:rPr>
          <w:rFonts w:cs="Arial"/>
          <w:sz w:val="24"/>
          <w:szCs w:val="24"/>
        </w:rPr>
      </w:pPr>
      <w:r>
        <w:rPr>
          <w:rFonts w:hint="eastAsia"/>
          <w:sz w:val="24"/>
          <w:szCs w:val="24"/>
        </w:rPr>
        <w:t>六、一般公共预算财政拨款基本支出决算情况说明………………18</w:t>
      </w:r>
    </w:p>
    <w:p>
      <w:pPr>
        <w:pStyle w:val="22"/>
        <w:tabs>
          <w:tab w:val="right" w:leader="dot" w:pos="8296"/>
        </w:tabs>
        <w:jc w:val="left"/>
        <w:rPr>
          <w:rFonts w:cs="Arial"/>
          <w:sz w:val="24"/>
          <w:szCs w:val="24"/>
        </w:rPr>
      </w:pPr>
      <w:r>
        <w:rPr>
          <w:rFonts w:hint="eastAsia"/>
          <w:sz w:val="24"/>
          <w:szCs w:val="24"/>
        </w:rPr>
        <w:t>七、</w:t>
      </w:r>
      <w:r>
        <w:rPr>
          <w:sz w:val="24"/>
          <w:szCs w:val="24"/>
        </w:rPr>
        <w:t>“</w:t>
      </w:r>
      <w:r>
        <w:rPr>
          <w:rFonts w:hint="eastAsia"/>
          <w:sz w:val="24"/>
          <w:szCs w:val="24"/>
        </w:rPr>
        <w:t>三公”经费财政拨款支出决算情况说明……………………18</w:t>
      </w:r>
    </w:p>
    <w:p>
      <w:pPr>
        <w:pStyle w:val="22"/>
        <w:tabs>
          <w:tab w:val="right" w:leader="dot" w:pos="8296"/>
        </w:tabs>
        <w:jc w:val="left"/>
        <w:rPr>
          <w:rFonts w:cs="Arial"/>
          <w:sz w:val="24"/>
          <w:szCs w:val="24"/>
        </w:rPr>
      </w:pPr>
      <w:r>
        <w:rPr>
          <w:rFonts w:hint="eastAsia"/>
          <w:sz w:val="24"/>
          <w:szCs w:val="24"/>
        </w:rPr>
        <w:t>八、政府性基金预算支出决算情况说明……………………………20</w:t>
      </w:r>
    </w:p>
    <w:p>
      <w:pPr>
        <w:pStyle w:val="22"/>
        <w:tabs>
          <w:tab w:val="right" w:leader="dot" w:pos="8296"/>
        </w:tabs>
        <w:jc w:val="left"/>
        <w:rPr>
          <w:sz w:val="24"/>
          <w:szCs w:val="24"/>
        </w:rPr>
      </w:pPr>
      <w:r>
        <w:rPr>
          <w:rFonts w:hint="eastAsia"/>
          <w:sz w:val="24"/>
          <w:szCs w:val="24"/>
        </w:rPr>
        <w:t>九、</w:t>
      </w:r>
      <w:r>
        <w:rPr>
          <w:sz w:val="24"/>
          <w:szCs w:val="24"/>
        </w:rPr>
        <w:t xml:space="preserve"> 国</w:t>
      </w:r>
      <w:r>
        <w:rPr>
          <w:rFonts w:hint="eastAsia"/>
          <w:sz w:val="24"/>
          <w:szCs w:val="24"/>
        </w:rPr>
        <w:t>有资本经营预算支出决算情况说明………………………20</w:t>
      </w:r>
    </w:p>
    <w:p>
      <w:pPr>
        <w:jc w:val="left"/>
        <w:rPr>
          <w:rFonts w:cs="Arial"/>
          <w:sz w:val="24"/>
          <w:szCs w:val="24"/>
        </w:rPr>
      </w:pPr>
      <w:r>
        <w:rPr>
          <w:rStyle w:val="24"/>
          <w:rFonts w:hint="eastAsia"/>
          <w:color w:val="000000"/>
          <w:sz w:val="24"/>
          <w:szCs w:val="24"/>
          <w:u w:val="none"/>
        </w:rPr>
        <w:t>十、</w:t>
      </w:r>
      <w:r>
        <w:rPr>
          <w:rFonts w:hint="eastAsia"/>
          <w:sz w:val="24"/>
          <w:szCs w:val="24"/>
        </w:rPr>
        <w:t>其他重要事项的情况说明</w:t>
      </w:r>
      <w:r>
        <w:rPr>
          <w:sz w:val="24"/>
          <w:szCs w:val="24"/>
        </w:rPr>
        <w:tab/>
      </w:r>
      <w:r>
        <w:rPr>
          <w:rFonts w:hint="eastAsia"/>
          <w:sz w:val="24"/>
          <w:szCs w:val="24"/>
        </w:rPr>
        <w:t>……………………………………………20</w:t>
      </w:r>
    </w:p>
    <w:p>
      <w:pPr>
        <w:pStyle w:val="21"/>
        <w:tabs>
          <w:tab w:val="right" w:leader="dot" w:pos="8296"/>
        </w:tabs>
        <w:jc w:val="left"/>
        <w:rPr>
          <w:rFonts w:cs="Arial"/>
          <w:sz w:val="24"/>
          <w:szCs w:val="24"/>
        </w:rPr>
      </w:pPr>
      <w:r>
        <w:rPr>
          <w:rFonts w:hint="eastAsia"/>
          <w:sz w:val="24"/>
          <w:szCs w:val="24"/>
        </w:rPr>
        <w:t>第三部分</w:t>
      </w:r>
      <w:r>
        <w:rPr>
          <w:sz w:val="24"/>
          <w:szCs w:val="24"/>
        </w:rPr>
        <w:t xml:space="preserve"> </w:t>
      </w:r>
      <w:r>
        <w:rPr>
          <w:rFonts w:hint="eastAsia"/>
          <w:sz w:val="24"/>
          <w:szCs w:val="24"/>
        </w:rPr>
        <w:t>名词解释…………………………………………………………34</w:t>
      </w:r>
    </w:p>
    <w:p>
      <w:pPr>
        <w:pStyle w:val="21"/>
        <w:tabs>
          <w:tab w:val="right" w:leader="dot" w:pos="8296"/>
        </w:tabs>
        <w:jc w:val="left"/>
        <w:rPr>
          <w:rFonts w:cs="Arial"/>
          <w:sz w:val="24"/>
          <w:szCs w:val="24"/>
        </w:rPr>
      </w:pPr>
      <w:r>
        <w:rPr>
          <w:rFonts w:hint="eastAsia"/>
          <w:sz w:val="24"/>
          <w:szCs w:val="24"/>
        </w:rPr>
        <w:t>第四部分</w:t>
      </w:r>
      <w:r>
        <w:rPr>
          <w:sz w:val="24"/>
          <w:szCs w:val="24"/>
        </w:rPr>
        <w:t xml:space="preserve"> </w:t>
      </w:r>
      <w:r>
        <w:rPr>
          <w:rFonts w:hint="eastAsia"/>
          <w:sz w:val="24"/>
          <w:szCs w:val="24"/>
        </w:rPr>
        <w:t>附件………………………………………………………………38</w:t>
      </w:r>
    </w:p>
    <w:p>
      <w:pPr>
        <w:pStyle w:val="22"/>
        <w:tabs>
          <w:tab w:val="right" w:leader="dot" w:pos="8296"/>
        </w:tabs>
        <w:jc w:val="left"/>
        <w:rPr>
          <w:rFonts w:cs="Arial"/>
          <w:sz w:val="24"/>
          <w:szCs w:val="24"/>
        </w:rPr>
      </w:pPr>
      <w:r>
        <w:rPr>
          <w:rFonts w:hint="eastAsia"/>
          <w:sz w:val="24"/>
          <w:szCs w:val="24"/>
        </w:rPr>
        <w:t>附件</w:t>
      </w:r>
      <w:r>
        <w:rPr>
          <w:sz w:val="24"/>
          <w:szCs w:val="24"/>
        </w:rPr>
        <w:t>1</w:t>
      </w:r>
      <w:r>
        <w:rPr>
          <w:rFonts w:hint="eastAsia"/>
          <w:sz w:val="24"/>
          <w:szCs w:val="24"/>
        </w:rPr>
        <w:t>…………………………………………………………………38</w:t>
      </w:r>
    </w:p>
    <w:p>
      <w:pPr>
        <w:pStyle w:val="22"/>
        <w:tabs>
          <w:tab w:val="right" w:leader="dot" w:pos="8296"/>
        </w:tabs>
        <w:jc w:val="left"/>
        <w:rPr>
          <w:rFonts w:cs="Arial"/>
          <w:sz w:val="24"/>
          <w:szCs w:val="24"/>
        </w:rPr>
      </w:pPr>
      <w:r>
        <w:rPr>
          <w:rFonts w:hint="eastAsia"/>
          <w:sz w:val="24"/>
          <w:szCs w:val="24"/>
        </w:rPr>
        <w:t>附件</w:t>
      </w:r>
      <w:r>
        <w:rPr>
          <w:sz w:val="24"/>
          <w:szCs w:val="24"/>
        </w:rPr>
        <w:t>2</w:t>
      </w:r>
      <w:r>
        <w:rPr>
          <w:rFonts w:hint="eastAsia"/>
          <w:sz w:val="24"/>
          <w:szCs w:val="24"/>
        </w:rPr>
        <w:t>…………………………………………………………………47</w:t>
      </w:r>
    </w:p>
    <w:p>
      <w:pPr>
        <w:pStyle w:val="21"/>
        <w:tabs>
          <w:tab w:val="right" w:leader="dot" w:pos="8296"/>
        </w:tabs>
        <w:jc w:val="left"/>
        <w:rPr>
          <w:rFonts w:cs="Arial"/>
          <w:sz w:val="24"/>
          <w:szCs w:val="24"/>
        </w:rPr>
      </w:pPr>
      <w:r>
        <w:rPr>
          <w:rFonts w:hint="eastAsia"/>
          <w:sz w:val="24"/>
          <w:szCs w:val="24"/>
        </w:rPr>
        <w:t>第五部分</w:t>
      </w:r>
      <w:r>
        <w:rPr>
          <w:sz w:val="24"/>
          <w:szCs w:val="24"/>
        </w:rPr>
        <w:t xml:space="preserve"> </w:t>
      </w:r>
      <w:r>
        <w:rPr>
          <w:rFonts w:hint="eastAsia"/>
          <w:sz w:val="24"/>
          <w:szCs w:val="24"/>
        </w:rPr>
        <w:t>附表………………………………………………………………54</w:t>
      </w:r>
    </w:p>
    <w:p>
      <w:pPr>
        <w:pStyle w:val="22"/>
        <w:tabs>
          <w:tab w:val="right" w:leader="dot" w:pos="8296"/>
        </w:tabs>
        <w:jc w:val="left"/>
        <w:rPr>
          <w:rFonts w:cs="Arial"/>
          <w:sz w:val="24"/>
          <w:szCs w:val="24"/>
        </w:rPr>
      </w:pPr>
      <w:r>
        <w:rPr>
          <w:rFonts w:hint="eastAsia"/>
          <w:sz w:val="24"/>
          <w:szCs w:val="24"/>
        </w:rPr>
        <w:t>一、收入支出决算总表</w:t>
      </w:r>
    </w:p>
    <w:p>
      <w:pPr>
        <w:pStyle w:val="22"/>
        <w:tabs>
          <w:tab w:val="right" w:leader="dot" w:pos="8296"/>
        </w:tabs>
        <w:jc w:val="left"/>
        <w:rPr>
          <w:rFonts w:cs="Arial"/>
          <w:sz w:val="24"/>
          <w:szCs w:val="24"/>
        </w:rPr>
      </w:pPr>
      <w:r>
        <w:rPr>
          <w:rFonts w:hint="eastAsia"/>
          <w:sz w:val="24"/>
          <w:szCs w:val="24"/>
        </w:rPr>
        <w:t>二、收入决算表</w:t>
      </w:r>
    </w:p>
    <w:p>
      <w:pPr>
        <w:pStyle w:val="22"/>
        <w:tabs>
          <w:tab w:val="right" w:leader="dot" w:pos="8296"/>
        </w:tabs>
        <w:jc w:val="left"/>
        <w:rPr>
          <w:rFonts w:cs="Arial"/>
          <w:sz w:val="24"/>
          <w:szCs w:val="24"/>
        </w:rPr>
      </w:pPr>
      <w:r>
        <w:rPr>
          <w:rFonts w:hint="eastAsia"/>
          <w:sz w:val="24"/>
          <w:szCs w:val="24"/>
        </w:rPr>
        <w:t>三、支出决算表</w:t>
      </w:r>
    </w:p>
    <w:p>
      <w:pPr>
        <w:pStyle w:val="22"/>
        <w:tabs>
          <w:tab w:val="right" w:leader="dot" w:pos="8296"/>
        </w:tabs>
        <w:jc w:val="left"/>
        <w:rPr>
          <w:rFonts w:cs="Arial"/>
          <w:sz w:val="24"/>
          <w:szCs w:val="24"/>
        </w:rPr>
      </w:pPr>
      <w:r>
        <w:rPr>
          <w:rFonts w:hint="eastAsia"/>
          <w:sz w:val="24"/>
          <w:szCs w:val="24"/>
        </w:rPr>
        <w:t>四、财政拨款收入支出决算总表</w:t>
      </w:r>
    </w:p>
    <w:p>
      <w:pPr>
        <w:pStyle w:val="22"/>
        <w:tabs>
          <w:tab w:val="right" w:leader="dot" w:pos="8296"/>
        </w:tabs>
        <w:jc w:val="left"/>
        <w:rPr>
          <w:sz w:val="24"/>
          <w:szCs w:val="24"/>
        </w:rPr>
      </w:pPr>
      <w:r>
        <w:rPr>
          <w:rFonts w:hint="eastAsia"/>
          <w:sz w:val="24"/>
          <w:szCs w:val="24"/>
        </w:rPr>
        <w:t>五、财政拨款支出决算明细表</w:t>
      </w:r>
    </w:p>
    <w:p>
      <w:pPr>
        <w:pStyle w:val="22"/>
        <w:tabs>
          <w:tab w:val="right" w:leader="dot" w:pos="8296"/>
        </w:tabs>
        <w:jc w:val="left"/>
        <w:rPr>
          <w:rFonts w:cs="Arial"/>
          <w:sz w:val="24"/>
          <w:szCs w:val="24"/>
        </w:rPr>
      </w:pPr>
      <w:r>
        <w:rPr>
          <w:rFonts w:hint="eastAsia"/>
          <w:sz w:val="24"/>
          <w:szCs w:val="24"/>
        </w:rPr>
        <w:t>六、一般公共预算财政拨款支出决算表</w:t>
      </w:r>
    </w:p>
    <w:p>
      <w:pPr>
        <w:pStyle w:val="22"/>
        <w:tabs>
          <w:tab w:val="right" w:leader="dot" w:pos="8296"/>
        </w:tabs>
        <w:jc w:val="left"/>
        <w:rPr>
          <w:rFonts w:cs="Arial"/>
          <w:sz w:val="24"/>
          <w:szCs w:val="24"/>
        </w:rPr>
      </w:pPr>
      <w:r>
        <w:rPr>
          <w:rFonts w:hint="eastAsia"/>
          <w:sz w:val="24"/>
          <w:szCs w:val="24"/>
        </w:rPr>
        <w:t>七、一般公共预算财政拨款支出决算明细表</w:t>
      </w:r>
    </w:p>
    <w:p>
      <w:pPr>
        <w:pStyle w:val="22"/>
        <w:tabs>
          <w:tab w:val="right" w:leader="dot" w:pos="8296"/>
        </w:tabs>
        <w:jc w:val="left"/>
        <w:rPr>
          <w:rFonts w:cs="Arial"/>
          <w:sz w:val="24"/>
          <w:szCs w:val="24"/>
        </w:rPr>
      </w:pPr>
      <w:r>
        <w:rPr>
          <w:rFonts w:hint="eastAsia"/>
          <w:sz w:val="24"/>
          <w:szCs w:val="24"/>
        </w:rPr>
        <w:t>八、一般公共预算财政拨款基本支出决算表</w:t>
      </w:r>
    </w:p>
    <w:p>
      <w:pPr>
        <w:pStyle w:val="22"/>
        <w:tabs>
          <w:tab w:val="right" w:leader="dot" w:pos="8296"/>
        </w:tabs>
        <w:jc w:val="left"/>
        <w:rPr>
          <w:rFonts w:cs="Arial"/>
          <w:sz w:val="24"/>
          <w:szCs w:val="24"/>
        </w:rPr>
      </w:pPr>
      <w:r>
        <w:rPr>
          <w:rFonts w:hint="eastAsia"/>
          <w:sz w:val="24"/>
          <w:szCs w:val="24"/>
        </w:rPr>
        <w:t>九、一般公共预算财政拨款项目支出决算表</w:t>
      </w:r>
    </w:p>
    <w:p>
      <w:pPr>
        <w:pStyle w:val="22"/>
        <w:tabs>
          <w:tab w:val="right" w:leader="dot" w:pos="8296"/>
        </w:tabs>
        <w:jc w:val="left"/>
        <w:rPr>
          <w:rFonts w:cs="Arial"/>
          <w:sz w:val="24"/>
          <w:szCs w:val="24"/>
        </w:rPr>
      </w:pPr>
      <w:r>
        <w:rPr>
          <w:rFonts w:hint="eastAsia"/>
          <w:sz w:val="24"/>
          <w:szCs w:val="24"/>
        </w:rPr>
        <w:t>十、一般公共预算财政拨款“三公”经费支出决算表</w:t>
      </w:r>
    </w:p>
    <w:p>
      <w:pPr>
        <w:pStyle w:val="22"/>
        <w:tabs>
          <w:tab w:val="right" w:leader="dot" w:pos="8296"/>
        </w:tabs>
        <w:jc w:val="left"/>
        <w:rPr>
          <w:rFonts w:cs="Arial"/>
          <w:sz w:val="24"/>
          <w:szCs w:val="24"/>
        </w:rPr>
      </w:pPr>
      <w:r>
        <w:rPr>
          <w:rFonts w:hint="eastAsia"/>
          <w:sz w:val="24"/>
          <w:szCs w:val="24"/>
        </w:rPr>
        <w:t>十一、政府性基金预算财政拨款收入支出决算表</w:t>
      </w:r>
    </w:p>
    <w:p>
      <w:pPr>
        <w:pStyle w:val="22"/>
        <w:tabs>
          <w:tab w:val="right" w:leader="dot" w:pos="8296"/>
        </w:tabs>
        <w:jc w:val="left"/>
        <w:rPr>
          <w:rFonts w:cs="Arial"/>
          <w:sz w:val="24"/>
          <w:szCs w:val="24"/>
        </w:rPr>
      </w:pPr>
      <w:r>
        <w:rPr>
          <w:rFonts w:hint="eastAsia"/>
          <w:sz w:val="24"/>
          <w:szCs w:val="24"/>
        </w:rPr>
        <w:t>十二、政府性基金预算财政拨款“三公”经费支出决算表</w:t>
      </w:r>
    </w:p>
    <w:p>
      <w:pPr>
        <w:pStyle w:val="22"/>
        <w:tabs>
          <w:tab w:val="right" w:leader="dot" w:pos="8296"/>
        </w:tabs>
        <w:jc w:val="left"/>
        <w:rPr>
          <w:rFonts w:cs="Arial"/>
          <w:sz w:val="24"/>
          <w:szCs w:val="24"/>
        </w:rPr>
      </w:pPr>
      <w:r>
        <w:rPr>
          <w:rFonts w:hint="eastAsia"/>
          <w:sz w:val="24"/>
          <w:szCs w:val="24"/>
        </w:rPr>
        <w:t>十三、国有资本经营预算支出决算表</w:t>
      </w:r>
    </w:p>
    <w:p>
      <w:pPr>
        <w:rPr>
          <w:kern w:val="44"/>
        </w:rPr>
      </w:pPr>
      <w:bookmarkStart w:id="13" w:name="_Toc15396599"/>
      <w:bookmarkStart w:id="14" w:name="_Toc15377196"/>
      <w:r>
        <w:br w:type="page"/>
      </w:r>
    </w:p>
    <w:p>
      <w:pPr>
        <w:pStyle w:val="1"/>
        <w:jc w:val="center"/>
        <w:rPr>
          <w:rStyle w:val="1Char"/>
          <w:rFonts w:ascii="黑体" w:eastAsia="黑体"/>
          <w:b/>
          <w:bCs w:val="0"/>
        </w:rPr>
      </w:pPr>
      <w:r>
        <w:rPr>
          <w:rFonts w:hint="eastAsia"/>
        </w:rPr>
        <w:t xml:space="preserve">第一部分 </w:t>
      </w:r>
      <w:r>
        <w:rPr>
          <w:rStyle w:val="1Char"/>
          <w:rFonts w:ascii="黑体" w:eastAsia="黑体" w:hint="eastAsia"/>
          <w:b w:val="0"/>
          <w:bCs w:val="0"/>
        </w:rPr>
        <w:t>部门概况</w:t>
      </w:r>
      <w:bookmarkEnd w:id="13"/>
      <w:bookmarkEnd w:id="14"/>
    </w:p>
    <w:p/>
    <w:p>
      <w:pPr>
        <w:pStyle w:val="2"/>
        <w:spacing w:line="640" w:lineRule="exact"/>
        <w:rPr>
          <w:rStyle w:val="2Char"/>
          <w:rFonts w:ascii="仿宋" w:eastAsia="仿宋"/>
          <w:b w:val="0"/>
          <w:bCs w:val="0"/>
        </w:rPr>
      </w:pPr>
      <w:bookmarkStart w:id="15" w:name="_Toc15396600"/>
      <w:bookmarkStart w:id="16" w:name="_Toc15377197"/>
      <w:r>
        <w:rPr>
          <w:rFonts w:hint="eastAsia"/>
        </w:rPr>
        <w:t>一、基</w:t>
      </w:r>
      <w:r>
        <w:rPr>
          <w:rStyle w:val="2Char"/>
          <w:rFonts w:ascii="黑体" w:eastAsia="黑体" w:hint="eastAsia"/>
          <w:b w:val="0"/>
          <w:bCs w:val="0"/>
        </w:rPr>
        <w:t>本职能及主要工作</w:t>
      </w:r>
      <w:bookmarkEnd w:id="15"/>
      <w:bookmarkEnd w:id="16"/>
    </w:p>
    <w:p>
      <w:pPr>
        <w:pStyle w:val="15"/>
        <w:spacing w:beforeLines="0" w:before="93" w:line="640" w:lineRule="exact"/>
      </w:pPr>
      <w:bookmarkStart w:id="17" w:name="_Toc15378445"/>
      <w:bookmarkStart w:id="18" w:name="_Toc15377198"/>
      <w:r>
        <w:rPr>
          <w:rFonts w:hint="eastAsia"/>
        </w:rPr>
        <w:t>（一）主要职能。</w:t>
      </w:r>
      <w:bookmarkStart w:id="19" w:name="_Toc15377199"/>
      <w:bookmarkStart w:id="20" w:name="_Toc15378446"/>
      <w:bookmarkEnd w:id="17"/>
      <w:bookmarkEnd w:id="18"/>
    </w:p>
    <w:p>
      <w:pPr>
        <w:spacing w:line="640" w:lineRule="exact"/>
        <w:rPr>
          <w:kern w:val="0"/>
        </w:rPr>
      </w:pPr>
      <w:r>
        <w:rPr>
          <w:rFonts w:hint="eastAsia"/>
          <w:kern w:val="0"/>
        </w:rPr>
        <w:t>1.</w:t>
      </w:r>
      <w:r>
        <w:rPr>
          <w:kern w:val="0"/>
        </w:rPr>
        <w:t>负责建立健全全市生态环境基本制度。会同有关部门拟订并组织实施全市生态环境政策、规划，起草生态环境保护的地方性法规、规章草案，并依法组织实施和监督检查。组织编制环境功能区划，会同有关部门编制并监督实施重点区域、流域、饮用水水源地生态环境规划和水功能区划，组织拟订生态环境地方标准、技术规范。参与制定与全市生态环境相关的经济、技术、资源配置和产业政策。参与拟订全市主体功能区划。</w:t>
      </w:r>
    </w:p>
    <w:p>
      <w:pPr>
        <w:spacing w:line="640" w:lineRule="exact"/>
        <w:rPr>
          <w:kern w:val="0"/>
        </w:rPr>
      </w:pPr>
      <w:r>
        <w:rPr>
          <w:rFonts w:hint="eastAsia"/>
          <w:kern w:val="0"/>
        </w:rPr>
        <w:t>2.</w:t>
      </w:r>
      <w:r>
        <w:rPr>
          <w:kern w:val="0"/>
        </w:rPr>
        <w:t>负责全市重大生态环境问题的统筹协调和监督管理。牵头协调全市重特大突发生态环境事件和生态破坏事件的调查处理，指导协调各县（区）对重特大突发生态环境事件的应急、预警工作，牵头指导实施生态环境损害赔偿制度，协调解决有关跨区域环境污染纠纷，统筹协调全市重点区域、流域的生态环境保护工作。</w:t>
      </w:r>
    </w:p>
    <w:p>
      <w:pPr>
        <w:spacing w:line="640" w:lineRule="exact"/>
        <w:rPr>
          <w:kern w:val="0"/>
        </w:rPr>
      </w:pPr>
      <w:r>
        <w:rPr>
          <w:rFonts w:hint="eastAsia"/>
          <w:kern w:val="0"/>
        </w:rPr>
        <w:t>3.</w:t>
      </w:r>
      <w:r>
        <w:rPr>
          <w:kern w:val="0"/>
        </w:rPr>
        <w:t>负责监督管理全市减排目标的落实。组织制定并监督实施全市各类污染物排放总量控制和排污许可证制度，确定大气、水等环境纳污能力，提出实施总量控制的污染物名称和控制指标，监督检查各县（区）、园区、企业污染物减排任务完成情况，实施生态环境目标责任制。</w:t>
      </w:r>
    </w:p>
    <w:p>
      <w:pPr>
        <w:spacing w:line="640" w:lineRule="exact"/>
        <w:rPr>
          <w:kern w:val="0"/>
        </w:rPr>
      </w:pPr>
      <w:r>
        <w:rPr>
          <w:rFonts w:hint="eastAsia"/>
          <w:kern w:val="0"/>
        </w:rPr>
        <w:t>4.</w:t>
      </w:r>
      <w:r>
        <w:rPr>
          <w:kern w:val="0"/>
        </w:rPr>
        <w:t>负责提出全市生态环境领域固定资产投资规模和方向、市级财政性资金安排的意见，按市政府规定权限审批、核准全市规划内和年度计划规模内固定资产投资项目，配合有关部门做好组织实施和监督工作。参与指导推动全市循环经济和生态环保产业发展。</w:t>
      </w:r>
    </w:p>
    <w:p>
      <w:pPr>
        <w:spacing w:line="640" w:lineRule="exact"/>
        <w:rPr>
          <w:kern w:val="0"/>
        </w:rPr>
      </w:pPr>
      <w:r>
        <w:rPr>
          <w:rFonts w:hint="eastAsia"/>
          <w:kern w:val="0"/>
        </w:rPr>
        <w:t>5.</w:t>
      </w:r>
      <w:r>
        <w:rPr>
          <w:kern w:val="0"/>
        </w:rPr>
        <w:t>负责全市环境污染防治的监督管理。组织制定并监督实施全市大气、水、土壤、噪声、光、恶臭、固体废物、化学品、机动车等的污染防治管理制度。会同有关部门监督管理饮用水水源地生态环境保护工作，组织指导城乡生态环境综合整治工作，监督指导农业面源污染治理工作。监督指导区域大气环境保护工作，牵头建立区域大气污染联防联控协作机制并监督实施。按职责分工组织开展全市强制性清洁生产审核工作。</w:t>
      </w:r>
    </w:p>
    <w:p>
      <w:pPr>
        <w:spacing w:line="640" w:lineRule="exact"/>
        <w:rPr>
          <w:kern w:val="0"/>
        </w:rPr>
      </w:pPr>
      <w:r>
        <w:rPr>
          <w:rFonts w:hint="eastAsia"/>
          <w:kern w:val="0"/>
        </w:rPr>
        <w:t>6.</w:t>
      </w:r>
      <w:r>
        <w:rPr>
          <w:kern w:val="0"/>
        </w:rPr>
        <w:t>指导协调和监督全市生态保护修复工作。组织编制和监督实施生态保护规划，监督对生态环境有影响的自然资源开发利用活动、重要生态环境建设和生态破坏恢复工作。组织、指导生态示范创建工作。组织制定全市各类自然保护地生态环境监管制度并监督执法，承担自然保护地、生态保护红线相关监管工作。监督野生动植物保护、湿地生态环境保护、荒漠化防治等工作。指导协调和监督全市农村生态环境保护，监督生物技术环境安全，牵头生物物种（含遗传资源）工作，组织协调生物多样性保护工作，参与生态保护补偿工作。</w:t>
      </w:r>
    </w:p>
    <w:p>
      <w:pPr>
        <w:spacing w:line="640" w:lineRule="exact"/>
        <w:rPr>
          <w:kern w:val="0"/>
        </w:rPr>
      </w:pPr>
      <w:r>
        <w:rPr>
          <w:rFonts w:hint="eastAsia"/>
          <w:kern w:val="0"/>
        </w:rPr>
        <w:t>7.</w:t>
      </w:r>
      <w:r>
        <w:rPr>
          <w:kern w:val="0"/>
        </w:rPr>
        <w:t>负责全市核与辐射安全的监督管理。贯彻执行国家、省核与辐射安全法律、法规、规章、政策、规划和技术标准。负责辐射环境事故应急处理工作，参与核事故应急处理。监督管理放射源与射线装置安全，监督管理全市核技术应用、电磁辐射、伴有放射性矿产资源开发利用中的污染防治。负责核与辐射建设项目“三同时”（同时设计、同时施工、同时投产使用）管理工作，参与核设施安全、核设施污染防治监督管理相关工作，参与对核材料的管制和民用核安全设备的设计、制造、安装和无损检验活动的监督管理。负责核与辐射环境监测和执法工作。参与反生化、核与辐射恐怖事件的防范和处理。</w:t>
      </w:r>
    </w:p>
    <w:p>
      <w:pPr>
        <w:spacing w:line="640" w:lineRule="exact"/>
        <w:rPr>
          <w:kern w:val="0"/>
        </w:rPr>
      </w:pPr>
      <w:r>
        <w:rPr>
          <w:rFonts w:hint="eastAsia"/>
          <w:kern w:val="0"/>
        </w:rPr>
        <w:t>8.</w:t>
      </w:r>
      <w:r>
        <w:rPr>
          <w:kern w:val="0"/>
        </w:rPr>
        <w:t>负责全市生态环境准入的监督管理。受市政府委托对重大经济和技术政策、发展规划以及重大经济开发计划进行环境影响评价。按规定审批或审查重大开发建设区域、规划、项目环境影响评价文件。拟订并组织实施全市生态环境准入清单。</w:t>
      </w:r>
    </w:p>
    <w:p>
      <w:pPr>
        <w:spacing w:line="640" w:lineRule="exact"/>
        <w:rPr>
          <w:kern w:val="0"/>
        </w:rPr>
      </w:pPr>
      <w:r>
        <w:rPr>
          <w:rFonts w:hint="eastAsia"/>
          <w:kern w:val="0"/>
        </w:rPr>
        <w:t>9.</w:t>
      </w:r>
      <w:r>
        <w:rPr>
          <w:kern w:val="0"/>
        </w:rPr>
        <w:t>负责全市生态环境监测、统计和信息发布工作。监督执行国家、省颁布的各类环境标准，负责全市环境监测制度和规范相关工作。会同有关部门统一规划全市生态环境质量监测站点设置，组织实施生态环境质量监测、污染源监督性监测、温室气体减排监测、应急监测。组织对全市生态环境质量状况进行调查评价、预警预测，组织建设和管理全市生态环境监测网和生态环境信息网。负责全市生态环境质量考核和生态环境统计工作。建立和实行生态环境质量公告制度，统一发布全市生态环境综合性报告和重大环境信息。</w:t>
      </w:r>
    </w:p>
    <w:p>
      <w:pPr>
        <w:spacing w:line="640" w:lineRule="exact"/>
        <w:rPr>
          <w:kern w:val="0"/>
        </w:rPr>
      </w:pPr>
      <w:r>
        <w:rPr>
          <w:rFonts w:hint="eastAsia"/>
          <w:kern w:val="0"/>
        </w:rPr>
        <w:t>10.</w:t>
      </w:r>
      <w:r>
        <w:rPr>
          <w:kern w:val="0"/>
        </w:rPr>
        <w:t>负责应对气候变化工作。组织实施国家、省应对气候变化及温室气体减排重大战略、规划和政策，组织拟订全市应对气候变化的规划和政策措施。</w:t>
      </w:r>
    </w:p>
    <w:p>
      <w:pPr>
        <w:spacing w:line="640" w:lineRule="exact"/>
        <w:rPr>
          <w:kern w:val="0"/>
        </w:rPr>
      </w:pPr>
      <w:r>
        <w:rPr>
          <w:rFonts w:hint="eastAsia"/>
          <w:kern w:val="0"/>
        </w:rPr>
        <w:t>11.</w:t>
      </w:r>
      <w:r>
        <w:rPr>
          <w:kern w:val="0"/>
        </w:rPr>
        <w:t>组织开展市级生态环境保护督察和监察。拟订市级生态环境保护督察和监察制度，组织协调市级生态环境保护督察和监察工作，根据授权对各县（区）、各有关部门贯彻落实中央、省、市生态环境保护决策部署情况进行督察和监察。</w:t>
      </w:r>
    </w:p>
    <w:p>
      <w:pPr>
        <w:spacing w:line="640" w:lineRule="exact"/>
        <w:rPr>
          <w:kern w:val="0"/>
        </w:rPr>
      </w:pPr>
      <w:r>
        <w:rPr>
          <w:rFonts w:hint="eastAsia"/>
          <w:kern w:val="0"/>
        </w:rPr>
        <w:t>12.负责生态环境保护领域的综合行政执法工作。</w:t>
      </w:r>
      <w:r>
        <w:rPr>
          <w:kern w:val="0"/>
        </w:rPr>
        <w:t>组织开展全市生态环境保护执法检查。监督实施全市建设项目生态环境保护设施“三同时”制度。查处全市重大生态环境违法问题。负责全市生态环境保护综合执法队伍建设并指导开展业务工作。</w:t>
      </w:r>
    </w:p>
    <w:p>
      <w:pPr>
        <w:spacing w:line="640" w:lineRule="exact"/>
        <w:rPr>
          <w:kern w:val="0"/>
        </w:rPr>
      </w:pPr>
      <w:r>
        <w:rPr>
          <w:rFonts w:hint="eastAsia"/>
          <w:kern w:val="0"/>
        </w:rPr>
        <w:t>13.</w:t>
      </w:r>
      <w:r>
        <w:rPr>
          <w:kern w:val="0"/>
        </w:rPr>
        <w:t>组织指导和协调全市生态环境宣传教育工作。制定并组织实施全市生态环境保护宣传教育有关规划和计划。推动社会组织和公众参与生态环境保护。会同有关部门依法对全市保护和改善生态环境有显著成绩的单位和个人给予表彰和奖励。</w:t>
      </w:r>
    </w:p>
    <w:p>
      <w:pPr>
        <w:spacing w:line="640" w:lineRule="exact"/>
        <w:rPr>
          <w:kern w:val="0"/>
        </w:rPr>
      </w:pPr>
      <w:r>
        <w:rPr>
          <w:rFonts w:hint="eastAsia"/>
          <w:kern w:val="0"/>
        </w:rPr>
        <w:t>14.</w:t>
      </w:r>
      <w:r>
        <w:rPr>
          <w:kern w:val="0"/>
        </w:rPr>
        <w:t>开展全市生态环境科技工作。管理全市生态环境保护科技成果并推广应用。组织开展全市生态环境重大科学研究和技术工程示范，推动生态环境技术管理体系建设。</w:t>
      </w:r>
    </w:p>
    <w:p>
      <w:pPr>
        <w:spacing w:line="640" w:lineRule="exact"/>
        <w:rPr>
          <w:kern w:val="0"/>
        </w:rPr>
      </w:pPr>
      <w:r>
        <w:rPr>
          <w:rFonts w:hint="eastAsia"/>
          <w:kern w:val="0"/>
        </w:rPr>
        <w:t>15.</w:t>
      </w:r>
      <w:r>
        <w:rPr>
          <w:kern w:val="0"/>
        </w:rPr>
        <w:t>开展生态环境对外交流与合作。参与协调市内重要生态环境保护国际活动和区域合作，管理全市生态环境系统对外经济合作，参与处理涉外生态环境保护事务，负责与环境保护国际组织的联系工作。</w:t>
      </w:r>
    </w:p>
    <w:p>
      <w:pPr>
        <w:spacing w:line="640" w:lineRule="exact"/>
        <w:rPr>
          <w:kern w:val="0"/>
        </w:rPr>
      </w:pPr>
      <w:r>
        <w:rPr>
          <w:rFonts w:hint="eastAsia"/>
          <w:kern w:val="0"/>
        </w:rPr>
        <w:t>16.</w:t>
      </w:r>
      <w:r>
        <w:rPr>
          <w:kern w:val="0"/>
        </w:rPr>
        <w:t>负责职责范围内安全生产和职业健康、审批服务便民化等工作。</w:t>
      </w:r>
    </w:p>
    <w:p>
      <w:pPr>
        <w:spacing w:line="640" w:lineRule="exact"/>
        <w:rPr>
          <w:kern w:val="0"/>
        </w:rPr>
      </w:pPr>
      <w:r>
        <w:rPr>
          <w:rFonts w:hint="eastAsia"/>
          <w:kern w:val="0"/>
        </w:rPr>
        <w:t>17.</w:t>
      </w:r>
      <w:r>
        <w:rPr>
          <w:kern w:val="0"/>
        </w:rPr>
        <w:t>完成市委、市政府和省生态环境厅交办的其他任务。</w:t>
      </w:r>
    </w:p>
    <w:p>
      <w:pPr>
        <w:spacing w:line="640" w:lineRule="exact"/>
        <w:rPr>
          <w:kern w:val="0"/>
        </w:rPr>
      </w:pPr>
      <w:r>
        <w:rPr>
          <w:rFonts w:hint="eastAsia"/>
          <w:kern w:val="0"/>
        </w:rPr>
        <w:t>18.</w:t>
      </w:r>
      <w:r>
        <w:rPr>
          <w:kern w:val="0"/>
        </w:rPr>
        <w:t>职能转变。统一行使全市生态和城乡各类污染排放监管</w:t>
      </w:r>
      <w:r>
        <w:rPr>
          <w:rFonts w:hint="eastAsia"/>
          <w:kern w:val="0"/>
        </w:rPr>
        <w:t>职责，按照国家、省确定的综合行政执法改革要求实施与此对应的</w:t>
      </w:r>
      <w:r>
        <w:rPr>
          <w:kern w:val="0"/>
        </w:rPr>
        <w:t>行政执法职责，统一负责全市生态环境质量监测、调查评价和考核，切实履行监管责任，加强事中事后监管，全面落实大气、水、土壤污染防治行动计划，强化固体废物、化学品、重金属污染防治监督管理。构建政府为主导、企业为主体、社会组织和公众共同参与的生态环境治理体系，实施最严格的生态环境保护制度，严守生态保护红线和环境质量底线，坚决打好污染防治攻坚战，筑牢长江上游生态屏障，保障生态安全。</w:t>
      </w:r>
    </w:p>
    <w:p>
      <w:pPr>
        <w:pStyle w:val="15"/>
        <w:spacing w:beforeLines="0" w:before="93" w:line="640" w:lineRule="exact"/>
      </w:pPr>
      <w:r>
        <w:rPr>
          <w:rFonts w:hint="eastAsia"/>
        </w:rPr>
        <w:t>（二）</w:t>
      </w:r>
      <w:r>
        <w:t>201</w:t>
      </w:r>
      <w:r>
        <w:rPr>
          <w:rFonts w:hint="eastAsia"/>
        </w:rPr>
        <w:t>9年重点工作完成情况。</w:t>
      </w:r>
      <w:bookmarkEnd w:id="19"/>
      <w:bookmarkEnd w:id="20"/>
    </w:p>
    <w:p>
      <w:pPr>
        <w:pStyle w:val="28"/>
        <w:spacing w:line="640" w:lineRule="exact"/>
        <w:ind w:firstLineChars="200" w:firstLine="640"/>
        <w:rPr>
          <w:rFonts w:cs="Times New Roman"/>
          <w:bCs/>
          <w:sz w:val="32"/>
          <w:szCs w:val="32"/>
        </w:rPr>
      </w:pPr>
      <w:r>
        <w:rPr>
          <w:rFonts w:cs="Times New Roman" w:hint="eastAsia"/>
          <w:bCs/>
          <w:sz w:val="32"/>
          <w:szCs w:val="32"/>
        </w:rPr>
        <w:t>1.</w:t>
      </w:r>
      <w:r>
        <w:rPr>
          <w:rFonts w:cs="Times New Roman"/>
          <w:bCs/>
          <w:sz w:val="32"/>
          <w:szCs w:val="32"/>
        </w:rPr>
        <w:t>服务“两城”建设，厚植生态底色</w:t>
      </w:r>
    </w:p>
    <w:p>
      <w:pPr>
        <w:pStyle w:val="28"/>
        <w:spacing w:line="640" w:lineRule="exact"/>
        <w:ind w:firstLineChars="200" w:firstLine="640"/>
        <w:rPr>
          <w:rFonts w:cs="Times New Roman"/>
          <w:bCs/>
          <w:sz w:val="32"/>
          <w:szCs w:val="32"/>
        </w:rPr>
      </w:pPr>
      <w:r>
        <w:rPr>
          <w:rFonts w:cs="Times New Roman"/>
          <w:bCs/>
          <w:sz w:val="32"/>
          <w:szCs w:val="32"/>
        </w:rPr>
        <w:t>紧紧围绕市委“两城”建设“生态优先”工作思路，为“两城”建设夯基础、打底色。市委作出加快“两城”建设的决定后，我局多次组织科研单位和直属单位召开研讨会，把优规划、夯基础、强服务作为我局服务“两城”建设的工作基调。集中一个月完成对“两城”环境质量现状的监测分析，协调推进“两城”区域“三线一单”编制，配合自然资源、城管、住建等部门做好相关规划。投资5332万元在“两城”区域新建2个水质自动监测站，1个应急实验室，1套水质溯源系统。成立园区监管科、“两城”行政执法大队、东区环境监测站，专门负责“两城”环境管理、执法和监测，把助推“两城”建设落到实处。守好生态底线。严格项目事前审批和事后监管执法。全年“两城”区域内不予审批项目4个，处罚违法企业23家次、罚金163.52万元。</w:t>
      </w:r>
    </w:p>
    <w:p>
      <w:pPr>
        <w:pStyle w:val="28"/>
        <w:spacing w:line="640" w:lineRule="exact"/>
        <w:ind w:firstLineChars="200" w:firstLine="640"/>
        <w:rPr>
          <w:rFonts w:cs="Times New Roman"/>
          <w:bCs/>
          <w:sz w:val="32"/>
          <w:szCs w:val="32"/>
        </w:rPr>
      </w:pPr>
      <w:r>
        <w:rPr>
          <w:rFonts w:cs="Times New Roman" w:hint="eastAsia"/>
          <w:bCs/>
          <w:sz w:val="32"/>
          <w:szCs w:val="32"/>
        </w:rPr>
        <w:t>2.</w:t>
      </w:r>
      <w:r>
        <w:rPr>
          <w:rFonts w:cs="Times New Roman"/>
          <w:bCs/>
          <w:sz w:val="32"/>
          <w:szCs w:val="32"/>
        </w:rPr>
        <w:t>服务阳光康养，建设优美环境</w:t>
      </w:r>
    </w:p>
    <w:p>
      <w:pPr>
        <w:pStyle w:val="28"/>
        <w:spacing w:line="640" w:lineRule="exact"/>
        <w:ind w:firstLineChars="200" w:firstLine="640"/>
        <w:rPr>
          <w:rFonts w:cs="Times New Roman"/>
          <w:bCs/>
          <w:sz w:val="32"/>
          <w:szCs w:val="32"/>
        </w:rPr>
      </w:pPr>
      <w:r>
        <w:rPr>
          <w:rFonts w:cs="Times New Roman"/>
          <w:bCs/>
          <w:sz w:val="32"/>
          <w:szCs w:val="32"/>
        </w:rPr>
        <w:t>围绕“国际康养旅游目的地”定位，不断提升“英雄攀枝花、阳光康养地”金字招牌的生态含金量。2019年，我市空气质量6项指标均达国家标准，空气优良率达97.5%，全省排名第2、同比上升2位。稳居全国333个城市地表水考核前20名、全省前2名。在全力保证我市工业生产大局的基础上，通过实施企业污染物浓度和总量双控制、整治运输扬尘和抛洒、治理脏车等针对性措施，不断强化污染物源头管控，重点考核指标PM2.5仅29.6µg/m3。通过加强饮用水水源地保护和规范化建设、整治水和土壤污染企业、实施小流域污染治理和农村环境综合整治等工作，推动全市地表水和饮用水水源地水质达标率连续6年保持100%，建成区无黑臭水体，土壤风险保持稳定，全年未发生较大以上环境污染事件。开展督导71次，项目调度12次，组织相关部门研究问题33次。环保部挂牌督办的仁和污水处理厂问题已摘牌。国家移交的2个长江生态环境问题整改全部完成，正开展销号。新京报舆情处理迅速、得当，市民评价正面。12369受理投诉371件，同比下降34.7%，办结364件、办结率98.1%，群众满意度不断提升。</w:t>
      </w:r>
    </w:p>
    <w:p>
      <w:pPr>
        <w:pStyle w:val="28"/>
        <w:spacing w:line="640" w:lineRule="exact"/>
        <w:ind w:firstLineChars="200" w:firstLine="640"/>
        <w:rPr>
          <w:rFonts w:cs="Times New Roman"/>
          <w:bCs/>
          <w:sz w:val="32"/>
          <w:szCs w:val="32"/>
        </w:rPr>
      </w:pPr>
      <w:r>
        <w:rPr>
          <w:rFonts w:cs="Times New Roman" w:hint="eastAsia"/>
          <w:bCs/>
          <w:sz w:val="32"/>
          <w:szCs w:val="32"/>
        </w:rPr>
        <w:t>3.</w:t>
      </w:r>
      <w:r>
        <w:rPr>
          <w:rFonts w:cs="Times New Roman"/>
          <w:bCs/>
          <w:sz w:val="32"/>
          <w:szCs w:val="32"/>
        </w:rPr>
        <w:t>优化营商环境，增添发展动能</w:t>
      </w:r>
    </w:p>
    <w:p>
      <w:pPr>
        <w:spacing w:line="640" w:lineRule="exact"/>
        <w:rPr>
          <w:kern w:val="0"/>
        </w:rPr>
      </w:pPr>
      <w:r>
        <w:rPr>
          <w:kern w:val="0"/>
        </w:rPr>
        <w:t>靠前一步、主动服务，不断优化营商环境。全年共审批项目65个，涉及总投资46.49亿元，其中环保投资2.32亿元。组织生态环境系统20名各类专业优秀人才组建服务团队，到攀枝花市钢城集团等35家重点企业，针对环保隐患和薄弱环节进行全面“把脉问诊”。将全市重大项目、重点民生工程全部纳入环评审批“绿色通道”，实行“容缺审查”，加快环评审批速度。多次向省厅汇报争取，获得部分涉钒、钛项目环评审批权限下放。推行环评豁免制度，83类建设项目不再需要办理环评手续。对390个涉及环评的项目，不再办理环评报告书（表），仅需企业</w:t>
      </w:r>
      <w:r>
        <w:rPr>
          <w:rFonts w:hint="eastAsia"/>
          <w:kern w:val="0"/>
        </w:rPr>
        <w:t>在</w:t>
      </w:r>
      <w:r>
        <w:rPr>
          <w:kern w:val="0"/>
        </w:rPr>
        <w:t>网上登记备案即可建设。创新“红黄牌”制度，倒逼环评单位提升环评文件编制质效。3家公司被纳入黄牌管理。推进环评审批承诺制改革，审批时间从30个工作日缩减到7个工作日以内。政务窗口使用电子服务，平均咨询时间从20分钟减少到10分钟以内，各类申请办结率100%。</w:t>
      </w:r>
    </w:p>
    <w:p>
      <w:pPr>
        <w:pStyle w:val="28"/>
        <w:spacing w:line="640" w:lineRule="exact"/>
        <w:ind w:firstLineChars="200" w:firstLine="640"/>
        <w:rPr>
          <w:rFonts w:cs="Times New Roman"/>
          <w:bCs/>
          <w:sz w:val="32"/>
          <w:szCs w:val="32"/>
        </w:rPr>
      </w:pPr>
      <w:r>
        <w:rPr>
          <w:rFonts w:cs="Times New Roman" w:hint="eastAsia"/>
          <w:bCs/>
          <w:sz w:val="32"/>
          <w:szCs w:val="32"/>
        </w:rPr>
        <w:t>4.</w:t>
      </w:r>
      <w:r>
        <w:rPr>
          <w:rFonts w:cs="Times New Roman"/>
          <w:bCs/>
          <w:sz w:val="32"/>
          <w:szCs w:val="32"/>
        </w:rPr>
        <w:t>优化资源配置，激发改革活力</w:t>
      </w:r>
    </w:p>
    <w:p>
      <w:pPr>
        <w:spacing w:line="640" w:lineRule="exact"/>
        <w:rPr>
          <w:kern w:val="0"/>
        </w:rPr>
      </w:pPr>
      <w:r>
        <w:rPr>
          <w:kern w:val="0"/>
        </w:rPr>
        <w:t>把改革创新作为打造生态环境保护铁军的主抓手，提升机构效能、激活队伍干事热情。我局代表四川省在12月召开的西南五省（市）建设生态环境保护铁军会上作经验交流。</w:t>
      </w:r>
    </w:p>
    <w:p>
      <w:pPr>
        <w:spacing w:line="640" w:lineRule="exact"/>
        <w:rPr>
          <w:kern w:val="0"/>
        </w:rPr>
      </w:pPr>
      <w:r>
        <w:rPr>
          <w:kern w:val="0"/>
        </w:rPr>
        <w:t>上收县（区）生态环境局31名行政编制、69名参公编制和77名事业编制，进行统一管理，2020年1月将按新体制运行。新设立“固废危化与环境应急事务中心”“东区环境监测站”，整合设立“生态环境信息与技术评估服务中心”，技术支撑进一步加强。将20%的市支队机关人员下沉派驻到5个区县执法大队，壮大基层执法力量。</w:t>
      </w:r>
    </w:p>
    <w:p>
      <w:pPr>
        <w:pStyle w:val="28"/>
        <w:spacing w:line="640" w:lineRule="exact"/>
        <w:ind w:firstLineChars="200" w:firstLine="640"/>
        <w:rPr>
          <w:rFonts w:cs="Times New Roman"/>
          <w:bCs/>
          <w:sz w:val="32"/>
          <w:szCs w:val="32"/>
        </w:rPr>
      </w:pPr>
      <w:r>
        <w:rPr>
          <w:rFonts w:cs="Times New Roman"/>
          <w:bCs/>
          <w:sz w:val="32"/>
          <w:szCs w:val="32"/>
        </w:rPr>
        <w:t>5.突出党建引领，打造生态铁军</w:t>
      </w:r>
    </w:p>
    <w:p>
      <w:pPr>
        <w:spacing w:line="640" w:lineRule="exact"/>
        <w:rPr>
          <w:kern w:val="0"/>
        </w:rPr>
      </w:pPr>
      <w:r>
        <w:rPr>
          <w:kern w:val="0"/>
        </w:rPr>
        <w:t>积极适应垂改后生态环境队伍建设新需求，强党建、改作风、提能力。开展各种学习活动70余次，突出抓好“三线精神”再教育、红色教育、党性教育、先进典型教育和警示教育等5项教育。开展“三进”活动：进社区，联合学园路、竹湖园等社区开展“生活噪声知识讲座”活动；进基地，参观三线博物馆、大田会议遗址，请最美环保人作先进典型报告；进环保设施，全国100个“最美水站”——攀枝花市倮果水站向公众开放6次。2019年“七一”举办了“不忘初心 建设美丽攀枝花”党建文艺汇演。制定《攀枝花市生态环境系统干部日常监管“红黄牌”预警处置办法（试行）》，2名同志因工作纪律问题被扣分。1件案件被生态环境部列为环境行政执法办理推广案例、1件案件被生态环境部评为案卷三等奖。获得四川省第二届生态环境监测技能竞赛综合比武团体二等奖，专项比武团体三等奖，个人奖12项。</w:t>
      </w:r>
    </w:p>
    <w:p>
      <w:pPr>
        <w:pStyle w:val="2"/>
        <w:spacing w:line="640" w:lineRule="exact"/>
        <w:rPr>
          <w:rStyle w:val="2Char"/>
          <w:b w:val="0"/>
          <w:bCs w:val="0"/>
        </w:rPr>
      </w:pPr>
      <w:bookmarkStart w:id="21" w:name="_Toc15396601"/>
      <w:bookmarkStart w:id="22" w:name="_Toc15377200"/>
      <w:r>
        <w:rPr>
          <w:rFonts w:hint="eastAsia"/>
        </w:rPr>
        <w:t>二、机</w:t>
      </w:r>
      <w:r>
        <w:rPr>
          <w:rStyle w:val="2Char"/>
          <w:rFonts w:ascii="黑体" w:eastAsia="黑体" w:hint="eastAsia"/>
          <w:b w:val="0"/>
          <w:bCs w:val="0"/>
        </w:rPr>
        <w:t>构设置</w:t>
      </w:r>
      <w:bookmarkEnd w:id="21"/>
      <w:bookmarkEnd w:id="22"/>
    </w:p>
    <w:p>
      <w:pPr>
        <w:spacing w:line="640" w:lineRule="exact"/>
      </w:pPr>
      <w:r>
        <w:rPr>
          <w:rFonts w:hint="eastAsia"/>
        </w:rPr>
        <w:t>我部门下属二级单位4个，其中行政单位1个，参照公务员法管理的事业单位</w:t>
      </w:r>
      <w:r>
        <w:rPr>
          <w:rFonts w:hint="eastAsia"/>
          <w:bCs/>
        </w:rPr>
        <w:t>1</w:t>
      </w:r>
      <w:r>
        <w:rPr>
          <w:rFonts w:hint="eastAsia"/>
        </w:rPr>
        <w:t>个(财务未独立)，其他事业单位2个(其中1个财务未独立)。</w:t>
      </w:r>
    </w:p>
    <w:p>
      <w:pPr>
        <w:pStyle w:val="15"/>
        <w:spacing w:beforeLines="0" w:before="93" w:line="640" w:lineRule="exact"/>
      </w:pPr>
      <w:r>
        <w:rPr>
          <w:rFonts w:hint="eastAsia"/>
        </w:rPr>
        <w:t>纳入攀枝花市生态环境局2019年度部门决算编制范围的二级预算单位包括：</w:t>
      </w:r>
    </w:p>
    <w:p>
      <w:pPr>
        <w:pStyle w:val="15"/>
        <w:spacing w:beforeLines="0" w:before="93" w:line="640" w:lineRule="exact"/>
      </w:pPr>
      <w:r>
        <w:rPr>
          <w:rFonts w:hint="eastAsia"/>
        </w:rPr>
        <w:t>攀枝花市生态环境局</w:t>
      </w:r>
    </w:p>
    <w:p>
      <w:pPr>
        <w:pStyle w:val="15"/>
        <w:spacing w:beforeLines="0" w:before="93" w:line="640" w:lineRule="exact"/>
      </w:pPr>
      <w:bookmarkStart w:id="23" w:name="_Toc15377434"/>
      <w:bookmarkStart w:id="24" w:name="_Toc15378450"/>
      <w:bookmarkStart w:id="25" w:name="_Toc15377203"/>
      <w:bookmarkStart w:id="26" w:name="_Toc15306277"/>
      <w:r>
        <w:rPr>
          <w:rFonts w:hint="eastAsia"/>
        </w:rPr>
        <w:t>攀枝花市环境监测中心站</w:t>
      </w:r>
    </w:p>
    <w:p>
      <w:pPr>
        <w:spacing w:line="640" w:lineRule="exact"/>
        <w:rPr>
          <w:kern w:val="0"/>
        </w:rPr>
      </w:pPr>
      <w:bookmarkEnd w:id="23"/>
      <w:bookmarkEnd w:id="24"/>
      <w:bookmarkEnd w:id="25"/>
      <w:bookmarkEnd w:id="26"/>
      <w:r>
        <w:br w:type="page"/>
      </w:r>
    </w:p>
    <w:p>
      <w:pPr>
        <w:pStyle w:val="1"/>
        <w:jc w:val="center"/>
        <w:rPr>
          <w:rStyle w:val="1Char"/>
          <w:rFonts w:ascii="黑体" w:eastAsia="黑体"/>
          <w:b w:val="0"/>
          <w:bCs w:val="0"/>
        </w:rPr>
      </w:pPr>
      <w:bookmarkStart w:id="27" w:name="_Toc15396602"/>
      <w:bookmarkStart w:id="28" w:name="_Toc15377204"/>
      <w:r>
        <w:rPr>
          <w:rFonts w:hint="eastAsia"/>
        </w:rPr>
        <w:t xml:space="preserve">第二部分 </w:t>
      </w:r>
      <w:r>
        <w:rPr>
          <w:rStyle w:val="1Char"/>
          <w:rFonts w:ascii="黑体" w:eastAsia="黑体" w:hint="eastAsia"/>
          <w:b w:val="0"/>
          <w:bCs w:val="0"/>
        </w:rPr>
        <w:t>2019年度部门决算情况说明</w:t>
      </w:r>
      <w:bookmarkEnd w:id="27"/>
      <w:bookmarkEnd w:id="28"/>
    </w:p>
    <w:p/>
    <w:p>
      <w:pPr>
        <w:pStyle w:val="29"/>
        <w:spacing w:line="640" w:lineRule="exact"/>
        <w:rPr>
          <w:rStyle w:val="2Char"/>
          <w:rFonts w:ascii="黑体" w:eastAsia="黑体"/>
          <w:b w:val="0"/>
        </w:rPr>
      </w:pPr>
      <w:bookmarkStart w:id="29" w:name="_Toc15377205"/>
      <w:bookmarkStart w:id="30" w:name="_Toc15396603"/>
      <w:r>
        <w:rPr>
          <w:rStyle w:val="2Char"/>
          <w:rFonts w:ascii="黑体" w:eastAsia="黑体" w:hint="eastAsia"/>
        </w:rPr>
        <w:t>一、收</w:t>
      </w:r>
      <w:r>
        <w:rPr>
          <w:rStyle w:val="2Char"/>
          <w:rFonts w:ascii="黑体" w:eastAsia="黑体" w:hint="eastAsia"/>
          <w:b w:val="0"/>
        </w:rPr>
        <w:t>入支出决算总体情况说明</w:t>
      </w:r>
      <w:bookmarkEnd w:id="29"/>
      <w:bookmarkEnd w:id="30"/>
    </w:p>
    <w:p>
      <w:pPr>
        <w:spacing w:line="640" w:lineRule="exact"/>
      </w:pPr>
      <w:r>
        <w:rPr>
          <w:rFonts w:hint="eastAsia"/>
        </w:rPr>
        <w:t>2019年度收、支总计15337.85万元。与2018年相比，收、支总计增加932.18万元，增长6.47</w:t>
      </w:r>
      <w:r>
        <w:t>%</w:t>
      </w:r>
      <w:r>
        <w:rPr>
          <w:rFonts w:hint="eastAsia"/>
        </w:rPr>
        <w:t>。主要变动原因是本年新增空气自动监测微站建设资金671万元，长江经济带水质自动监测能力建设资金131万元。</w:t>
      </w:r>
    </w:p>
    <w:p>
      <w:pPr>
        <w:pStyle w:val="29"/>
        <w:spacing w:line="640" w:lineRule="exact"/>
        <w:ind w:firstLineChars="0" w:firstLine="0"/>
        <w:rPr>
          <w:rFonts w:ascii="黑体" w:eastAsia="黑体"/>
        </w:rPr>
      </w:pPr>
      <w:bookmarkStart w:id="31" w:name="_Toc15377206"/>
      <w:bookmarkStart w:id="32" w:name="_Toc15396604"/>
    </w:p>
    <w:p>
      <w:pPr>
        <w:pStyle w:val="29"/>
        <w:rPr>
          <w:rFonts w:ascii="黑体" w:eastAsia="黑体"/>
        </w:rPr>
      </w:pPr>
      <w:r>
        <w:rPr>
          <w:rFonts w:ascii="黑体" w:eastAsia="黑体"/>
        </w:rPr>
        <w:drawing>
          <wp:inline distT="0" distB="0" distL="0" distR="0">
            <wp:extent cx="4086225" cy="2628900"/>
            <wp:effectExtent l="0" t="0" r="0" b="0"/>
            <wp:docPr id="1" name="图表 2"/>
            <wp:cNvGraphicFramePr>
              <a:graphicFrameLocks noChangeAspect="0"/>
            </wp:cNvGraphicFramePr>
            <a:graphic>
              <a:graphicData uri="http://schemas.openxmlformats.org/drawingml/2006/chart">
                <c:chart xmlns:c="http://schemas.openxmlformats.org/drawingml/2006/chart" r:id="rId3"/>
              </a:graphicData>
            </a:graphic>
          </wp:inline>
        </w:drawing>
      </w:r>
    </w:p>
    <w:p>
      <w:pPr>
        <w:pStyle w:val="29"/>
        <w:spacing w:line="640" w:lineRule="exact"/>
        <w:rPr>
          <w:rStyle w:val="2Char"/>
          <w:rFonts w:ascii="黑体" w:eastAsia="黑体"/>
          <w:b w:val="0"/>
        </w:rPr>
      </w:pPr>
      <w:r>
        <w:rPr>
          <w:rFonts w:ascii="黑体" w:eastAsia="黑体" w:hint="eastAsia"/>
        </w:rPr>
        <w:t>二、收</w:t>
      </w:r>
      <w:r>
        <w:rPr>
          <w:rStyle w:val="2Char"/>
          <w:rFonts w:ascii="黑体" w:eastAsia="黑体" w:hint="eastAsia"/>
          <w:b w:val="0"/>
        </w:rPr>
        <w:t>入决算情况说明</w:t>
      </w:r>
      <w:bookmarkEnd w:id="31"/>
      <w:bookmarkEnd w:id="32"/>
    </w:p>
    <w:p>
      <w:pPr>
        <w:spacing w:line="640" w:lineRule="exact"/>
      </w:pPr>
      <w:r>
        <w:t>201</w:t>
      </w:r>
      <w:r>
        <w:rPr>
          <w:rFonts w:hint="eastAsia"/>
        </w:rPr>
        <w:t>9年本年收入合计5809.26万元，其中：一般公共预算财政拨款收入5506.12万元，占94.78</w:t>
      </w:r>
      <w:r>
        <w:t>%</w:t>
      </w:r>
      <w:r>
        <w:rPr>
          <w:rFonts w:hint="eastAsia"/>
        </w:rPr>
        <w:t>；政府性基金预算财政拨款收入250.77万元，占4.32</w:t>
      </w:r>
      <w:r>
        <w:t>%</w:t>
      </w:r>
      <w:r>
        <w:rPr>
          <w:rFonts w:hint="eastAsia"/>
        </w:rPr>
        <w:t>；其他收入52.37万元，占0.9</w:t>
      </w:r>
      <w:r>
        <w:t>%</w:t>
      </w:r>
      <w:r>
        <w:rPr>
          <w:rFonts w:hint="eastAsia"/>
        </w:rPr>
        <w:t>。</w:t>
      </w:r>
    </w:p>
    <w:p>
      <w:pPr>
        <w:ind w:firstLineChars="0" w:firstLine="0"/>
      </w:pPr>
    </w:p>
    <w:p>
      <w:r>
        <w:drawing>
          <wp:inline distT="0" distB="0" distL="0" distR="0">
            <wp:extent cx="4572000" cy="2743200"/>
            <wp:effectExtent l="0" t="0" r="0" b="0"/>
            <wp:docPr id="2" name="图表 3"/>
            <wp:cNvGraphicFramePr>
              <a:graphicFrameLocks noChangeAspect="0"/>
            </wp:cNvGraphicFramePr>
            <a:graphic>
              <a:graphicData uri="http://schemas.openxmlformats.org/drawingml/2006/chart">
                <c:chart xmlns:c="http://schemas.openxmlformats.org/drawingml/2006/chart" r:id="rId4"/>
              </a:graphicData>
            </a:graphic>
          </wp:inline>
        </w:drawing>
      </w:r>
    </w:p>
    <w:p>
      <w:pPr>
        <w:pStyle w:val="29"/>
        <w:rPr>
          <w:rStyle w:val="2Char"/>
          <w:rFonts w:ascii="黑体" w:eastAsia="黑体"/>
        </w:rPr>
      </w:pPr>
      <w:bookmarkStart w:id="33" w:name="_Toc15377207"/>
      <w:bookmarkStart w:id="34" w:name="_Toc15396605"/>
    </w:p>
    <w:p>
      <w:pPr>
        <w:pStyle w:val="29"/>
        <w:spacing w:line="640" w:lineRule="exact"/>
        <w:rPr>
          <w:rStyle w:val="2Char"/>
          <w:rFonts w:ascii="黑体" w:eastAsia="黑体"/>
          <w:b w:val="0"/>
        </w:rPr>
      </w:pPr>
      <w:r>
        <w:rPr>
          <w:rStyle w:val="2Char"/>
          <w:rFonts w:ascii="黑体" w:eastAsia="黑体" w:hint="eastAsia"/>
        </w:rPr>
        <w:t>三、支</w:t>
      </w:r>
      <w:r>
        <w:rPr>
          <w:rStyle w:val="2Char"/>
          <w:rFonts w:ascii="黑体" w:eastAsia="黑体" w:hint="eastAsia"/>
          <w:b w:val="0"/>
        </w:rPr>
        <w:t>出决算情况说明</w:t>
      </w:r>
      <w:bookmarkEnd w:id="33"/>
      <w:bookmarkEnd w:id="34"/>
    </w:p>
    <w:p>
      <w:pPr>
        <w:spacing w:line="640" w:lineRule="exact"/>
      </w:pPr>
      <w:r>
        <w:t>201</w:t>
      </w:r>
      <w:r>
        <w:rPr>
          <w:rFonts w:hint="eastAsia"/>
        </w:rPr>
        <w:t>9年本年支出合计5923.35万元，其中：基本支出2690.34万元，占45.42</w:t>
      </w:r>
      <w:r>
        <w:t>%</w:t>
      </w:r>
      <w:r>
        <w:rPr>
          <w:rFonts w:hint="eastAsia"/>
        </w:rPr>
        <w:t>；项目支出3233万元，占54.58</w:t>
      </w:r>
      <w:r>
        <w:t>%</w:t>
      </w:r>
      <w:r>
        <w:rPr>
          <w:rFonts w:hint="eastAsia"/>
        </w:rPr>
        <w:t>。</w:t>
      </w:r>
    </w:p>
    <w:p>
      <w:pPr>
        <w:ind w:firstLineChars="0" w:firstLine="0"/>
      </w:pPr>
    </w:p>
    <w:p>
      <w:r>
        <w:drawing>
          <wp:inline distT="0" distB="0" distL="0" distR="0">
            <wp:extent cx="3600450" cy="1990725"/>
            <wp:effectExtent l="0" t="0" r="0" b="0"/>
            <wp:docPr id="3" name="图表 4"/>
            <wp:cNvGraphicFramePr>
              <a:graphicFrameLocks noChangeAspect="0"/>
            </wp:cNvGraphicFramePr>
            <a:graphic>
              <a:graphicData uri="http://schemas.openxmlformats.org/drawingml/2006/chart">
                <c:chart xmlns:c="http://schemas.openxmlformats.org/drawingml/2006/chart" r:id="rId5"/>
              </a:graphicData>
            </a:graphic>
          </wp:inline>
        </w:drawing>
      </w:r>
    </w:p>
    <w:p>
      <w:pPr>
        <w:spacing w:line="640" w:lineRule="exact"/>
        <w:rPr>
          <w:rStyle w:val="2Char"/>
          <w:rFonts w:ascii="黑体" w:eastAsia="黑体"/>
          <w:b w:val="0"/>
        </w:rPr>
      </w:pPr>
      <w:bookmarkStart w:id="35" w:name="_Toc15396606"/>
      <w:bookmarkStart w:id="36" w:name="_Toc15377208"/>
      <w:r>
        <w:rPr>
          <w:rStyle w:val="2Char"/>
          <w:rFonts w:ascii="黑体" w:eastAsia="黑体" w:hint="eastAsia"/>
        </w:rPr>
        <w:t>四、财</w:t>
      </w:r>
      <w:r>
        <w:rPr>
          <w:rStyle w:val="2Char"/>
          <w:rFonts w:ascii="黑体" w:eastAsia="黑体" w:hint="eastAsia"/>
          <w:b w:val="0"/>
        </w:rPr>
        <w:t>政拨款收入支出决算总体情况说明</w:t>
      </w:r>
      <w:bookmarkEnd w:id="35"/>
      <w:bookmarkEnd w:id="36"/>
    </w:p>
    <w:p>
      <w:pPr>
        <w:spacing w:line="640" w:lineRule="exact"/>
      </w:pPr>
      <w:r>
        <w:t>201</w:t>
      </w:r>
      <w:r>
        <w:rPr>
          <w:rFonts w:hint="eastAsia"/>
        </w:rPr>
        <w:t>9年财政拨款收、支总计15116.46万元。与</w:t>
      </w:r>
      <w:r>
        <w:t>201</w:t>
      </w:r>
      <w:r>
        <w:rPr>
          <w:rFonts w:hint="eastAsia"/>
        </w:rPr>
        <w:t>8年相比，财政拨款收、支总计增加985.34万元，增长6.97</w:t>
      </w:r>
      <w:r>
        <w:t>%</w:t>
      </w:r>
      <w:r>
        <w:rPr>
          <w:rFonts w:hint="eastAsia"/>
        </w:rPr>
        <w:t>。主要变动原因是本年新增空气自动监测微站建设资金671万元，长江经济带水质自动监测能力建设资金131万元。</w:t>
      </w:r>
    </w:p>
    <w:p>
      <w:pPr>
        <w:ind w:firstLineChars="0" w:firstLine="0"/>
      </w:pPr>
    </w:p>
    <w:p>
      <w:r>
        <w:drawing>
          <wp:inline distT="0" distB="0" distL="0" distR="0">
            <wp:extent cx="4352925" cy="1943100"/>
            <wp:effectExtent l="0" t="0" r="0" b="0"/>
            <wp:docPr id="4" name="图表 5"/>
            <wp:cNvGraphicFramePr>
              <a:graphicFrameLocks noChangeAspect="0"/>
            </wp:cNvGraphicFramePr>
            <a:graphic>
              <a:graphicData uri="http://schemas.openxmlformats.org/drawingml/2006/chart">
                <c:chart xmlns:c="http://schemas.openxmlformats.org/drawingml/2006/chart" r:id="rId6"/>
              </a:graphicData>
            </a:graphic>
          </wp:inline>
        </w:drawing>
      </w:r>
    </w:p>
    <w:p>
      <w:pPr>
        <w:spacing w:line="640" w:lineRule="exact"/>
        <w:rPr>
          <w:rStyle w:val="2Char"/>
          <w:rFonts w:ascii="黑体" w:eastAsia="黑体"/>
          <w:b w:val="0"/>
        </w:rPr>
      </w:pPr>
      <w:bookmarkStart w:id="37" w:name="_Toc15377209"/>
      <w:bookmarkStart w:id="38" w:name="_Toc15396607"/>
      <w:r>
        <w:rPr>
          <w:rStyle w:val="2Char"/>
          <w:rFonts w:ascii="黑体" w:eastAsia="黑体" w:hint="eastAsia"/>
        </w:rPr>
        <w:t>五、一</w:t>
      </w:r>
      <w:r>
        <w:rPr>
          <w:rStyle w:val="2Char"/>
          <w:rFonts w:ascii="黑体" w:eastAsia="黑体" w:hint="eastAsia"/>
          <w:b w:val="0"/>
        </w:rPr>
        <w:t>般公共预算财政拨款支出决算情况说明</w:t>
      </w:r>
      <w:bookmarkEnd w:id="37"/>
      <w:bookmarkEnd w:id="38"/>
    </w:p>
    <w:p>
      <w:pPr>
        <w:spacing w:line="640" w:lineRule="exact"/>
      </w:pPr>
      <w:bookmarkStart w:id="39" w:name="_Toc15377210"/>
      <w:r>
        <w:rPr>
          <w:rFonts w:hint="eastAsia"/>
        </w:rPr>
        <w:t>（一）一般公共预算财政拨款支出决算总体情况</w:t>
      </w:r>
      <w:bookmarkEnd w:id="39"/>
    </w:p>
    <w:p>
      <w:pPr>
        <w:spacing w:line="640" w:lineRule="exact"/>
      </w:pPr>
      <w:r>
        <w:t>201</w:t>
      </w:r>
      <w:r>
        <w:rPr>
          <w:rFonts w:hint="eastAsia"/>
        </w:rPr>
        <w:t>9年一般公共预算财政拨款支出5095.54万元，占本年支出合计的86.02</w:t>
      </w:r>
      <w:r>
        <w:t>%</w:t>
      </w:r>
      <w:r>
        <w:rPr>
          <w:rFonts w:hint="eastAsia"/>
        </w:rPr>
        <w:t>。与</w:t>
      </w:r>
      <w:r>
        <w:t>201</w:t>
      </w:r>
      <w:r>
        <w:rPr>
          <w:rFonts w:hint="eastAsia"/>
        </w:rPr>
        <w:t>8年相比，一般公共预算财政拨款增加327.36万元，增长6.87</w:t>
      </w:r>
      <w:r>
        <w:t>%</w:t>
      </w:r>
      <w:r>
        <w:rPr>
          <w:rFonts w:hint="eastAsia"/>
        </w:rPr>
        <w:t>。主要变动原因是乌东德水污染防控预警及监测项目建设、采购项目在本年度实施。</w:t>
      </w:r>
    </w:p>
    <w:p>
      <w:r>
        <w:drawing>
          <wp:inline distT="0" distB="0" distL="0" distR="0">
            <wp:extent cx="4352925" cy="1943100"/>
            <wp:effectExtent l="0" t="0" r="0" b="0"/>
            <wp:docPr id="5" name="图表 6"/>
            <wp:cNvGraphicFramePr>
              <a:graphicFrameLocks noChangeAspect="0"/>
            </wp:cNvGraphicFramePr>
            <a:graphic>
              <a:graphicData uri="http://schemas.openxmlformats.org/drawingml/2006/chart">
                <c:chart xmlns:c="http://schemas.openxmlformats.org/drawingml/2006/chart" r:id="rId7"/>
              </a:graphicData>
            </a:graphic>
          </wp:inline>
        </w:drawing>
      </w:r>
    </w:p>
    <w:p>
      <w:pPr>
        <w:spacing w:line="640" w:lineRule="exact"/>
      </w:pPr>
      <w:bookmarkStart w:id="40" w:name="_Toc15377211"/>
      <w:r>
        <w:rPr>
          <w:rFonts w:hint="eastAsia"/>
        </w:rPr>
        <w:t>（二）一般公共预算财政拨款支出决算结构情况</w:t>
      </w:r>
      <w:bookmarkEnd w:id="40"/>
    </w:p>
    <w:p>
      <w:pPr>
        <w:spacing w:line="640" w:lineRule="exact"/>
      </w:pPr>
      <w:r>
        <w:t>201</w:t>
      </w:r>
      <w:r>
        <w:rPr>
          <w:rFonts w:hint="eastAsia"/>
        </w:rPr>
        <w:t>9年一般公共预算财政拨款支出5095.54万元，主要用于以下方面</w:t>
      </w:r>
      <w:r>
        <w:t>:</w:t>
      </w:r>
      <w:r>
        <w:rPr>
          <w:rFonts w:hint="eastAsia"/>
        </w:rPr>
        <w:t>一般公共服务（类）支出12.18万元，占0.24</w:t>
      </w:r>
      <w:r>
        <w:t>%</w:t>
      </w:r>
      <w:r>
        <w:rPr>
          <w:rFonts w:hint="eastAsia"/>
        </w:rPr>
        <w:t>；社会保障和就业（类）支出312.18万元，占6.13</w:t>
      </w:r>
      <w:r>
        <w:t>%</w:t>
      </w:r>
      <w:r>
        <w:rPr>
          <w:rFonts w:hint="eastAsia"/>
        </w:rPr>
        <w:t>；节能环保（类）支出4594.77万元，占90.17%；住房保障支出176.4万元，占3.46</w:t>
      </w:r>
      <w:r>
        <w:t>%</w:t>
      </w:r>
      <w:r>
        <w:rPr>
          <w:rFonts w:hint="eastAsia"/>
        </w:rPr>
        <w:t>。</w:t>
      </w:r>
    </w:p>
    <w:p>
      <w:r>
        <w:drawing>
          <wp:inline distT="0" distB="0" distL="0" distR="0">
            <wp:extent cx="3771900" cy="2362200"/>
            <wp:effectExtent l="0" t="0" r="0" b="0"/>
            <wp:docPr id="6" name="图表 7"/>
            <wp:cNvGraphicFramePr>
              <a:graphicFrameLocks noChangeAspect="0"/>
            </wp:cNvGraphicFramePr>
            <a:graphic>
              <a:graphicData uri="http://schemas.openxmlformats.org/drawingml/2006/chart">
                <c:chart xmlns:c="http://schemas.openxmlformats.org/drawingml/2006/chart" r:id="rId8"/>
              </a:graphicData>
            </a:graphic>
          </wp:inline>
        </w:drawing>
      </w:r>
    </w:p>
    <w:p>
      <w:bookmarkStart w:id="41" w:name="_Toc15377212"/>
    </w:p>
    <w:p>
      <w:pPr>
        <w:spacing w:line="640" w:lineRule="exact"/>
      </w:pPr>
      <w:r>
        <w:rPr>
          <w:rFonts w:hint="eastAsia"/>
        </w:rPr>
        <w:t>（三）一般公共预算财政拨款支出决算具体情况</w:t>
      </w:r>
      <w:bookmarkEnd w:id="41"/>
    </w:p>
    <w:p>
      <w:pPr>
        <w:spacing w:line="640" w:lineRule="exact"/>
      </w:pPr>
      <w:bookmarkStart w:id="42" w:name="_Toc15378460"/>
      <w:bookmarkStart w:id="43" w:name="_Toc15377213"/>
      <w:bookmarkStart w:id="44" w:name="_Toc15377444"/>
      <w:r>
        <w:rPr>
          <w:rFonts w:hint="eastAsia"/>
        </w:rPr>
        <w:t>2019年一般公共预算支出决算数为5095.54，完成预算48.14</w:t>
      </w:r>
      <w:r>
        <w:t>%</w:t>
      </w:r>
      <w:r>
        <w:rPr>
          <w:rFonts w:hint="eastAsia"/>
        </w:rPr>
        <w:t>。其中：</w:t>
      </w:r>
      <w:bookmarkEnd w:id="42"/>
      <w:bookmarkEnd w:id="43"/>
      <w:bookmarkEnd w:id="44"/>
    </w:p>
    <w:p>
      <w:pPr>
        <w:spacing w:line="640" w:lineRule="exact"/>
      </w:pPr>
      <w:r>
        <w:t>1.</w:t>
      </w:r>
      <w:r>
        <w:rPr>
          <w:rFonts w:hint="eastAsia"/>
        </w:rPr>
        <w:t>一般公共服务（类）人力资源事务（款）其他人力资源事务支出（项）</w:t>
      </w:r>
      <w:r>
        <w:t xml:space="preserve">: </w:t>
      </w:r>
      <w:r>
        <w:rPr>
          <w:rFonts w:hint="eastAsia"/>
        </w:rPr>
        <w:t>支出决算为7.8万元，完成预算100</w:t>
      </w:r>
      <w:r>
        <w:t>%</w:t>
      </w:r>
      <w:r>
        <w:rPr>
          <w:rFonts w:hint="eastAsia"/>
        </w:rPr>
        <w:t>；一般公共服务（类）组织事务（款）其他组织事务支出（项）：支出决算为4.38万元，完成预算100%。</w:t>
      </w:r>
    </w:p>
    <w:p>
      <w:pPr>
        <w:spacing w:line="640" w:lineRule="exact"/>
      </w:pPr>
      <w:r>
        <w:rPr>
          <w:rFonts w:hint="eastAsia"/>
        </w:rPr>
        <w:t>2</w:t>
      </w:r>
      <w:r>
        <w:t>.</w:t>
      </w:r>
      <w:r>
        <w:rPr>
          <w:rFonts w:hint="eastAsia"/>
        </w:rPr>
        <w:t>社会保障和就业（类）行政事业单位离退休（款）未归口管理的行政单位离退休（项）</w:t>
      </w:r>
      <w:r>
        <w:t xml:space="preserve">: </w:t>
      </w:r>
      <w:r>
        <w:rPr>
          <w:rFonts w:hint="eastAsia"/>
        </w:rPr>
        <w:t>支出决算为127.38万元，完成预算100</w:t>
      </w:r>
      <w:r>
        <w:t>%</w:t>
      </w:r>
      <w:r>
        <w:rPr>
          <w:rFonts w:hint="eastAsia"/>
        </w:rPr>
        <w:t>；社会保障和就业（类）行政事业单位离退休（款）机关事业单位基本养老保险缴费支出（项）：支出决算为184.3万元，完成预算100</w:t>
      </w:r>
      <w:r>
        <w:t>%</w:t>
      </w:r>
      <w:r>
        <w:rPr>
          <w:rFonts w:hint="eastAsia"/>
        </w:rPr>
        <w:t>；社会保障和就业（类）社会福利（款）儿童福利（项）：支出决算为0.5万元，完成预算100</w:t>
      </w:r>
      <w:r>
        <w:t>%</w:t>
      </w:r>
      <w:r>
        <w:rPr>
          <w:rFonts w:hint="eastAsia"/>
        </w:rPr>
        <w:t>；</w:t>
      </w:r>
    </w:p>
    <w:p>
      <w:pPr>
        <w:spacing w:line="640" w:lineRule="exact"/>
      </w:pPr>
      <w:r>
        <w:rPr>
          <w:rFonts w:hint="eastAsia"/>
        </w:rPr>
        <w:t>3</w:t>
      </w:r>
      <w:r>
        <w:t>.</w:t>
      </w:r>
      <w:r>
        <w:rPr>
          <w:rFonts w:hint="eastAsia"/>
        </w:rPr>
        <w:t>节能环保支出（类）环境保护管理事务（款）行政运行（项）</w:t>
      </w:r>
      <w:r>
        <w:t>:</w:t>
      </w:r>
      <w:r>
        <w:rPr>
          <w:rFonts w:hint="eastAsia"/>
        </w:rPr>
        <w:t>支出决算为1121.51万元，完成预算100</w:t>
      </w:r>
      <w:r>
        <w:t>%</w:t>
      </w:r>
      <w:r>
        <w:rPr>
          <w:rFonts w:hint="eastAsia"/>
        </w:rPr>
        <w:t>；节能环保支出（类）环境保护管理事务（款）一般行政管理事务（项）支出决算为310.02万元，完成预算100</w:t>
      </w:r>
      <w:r>
        <w:t>%</w:t>
      </w:r>
      <w:r>
        <w:rPr>
          <w:rFonts w:hint="eastAsia"/>
        </w:rPr>
        <w:t>；节能环保支出（类）环境保护管理事务（款）其他环境保护管理事务支出（项）支出决算为118.5万元，完成预算35.75</w:t>
      </w:r>
      <w:r>
        <w:t>%</w:t>
      </w:r>
      <w:r>
        <w:rPr>
          <w:rFonts w:hint="eastAsia"/>
        </w:rPr>
        <w:t>，</w:t>
      </w:r>
      <w:r>
        <w:rPr>
          <w:rStyle w:val="23"/>
          <w:rFonts w:hint="eastAsia"/>
          <w:b w:val="0"/>
          <w:bCs/>
        </w:rPr>
        <w:t>决算数小于预算数的主要原因是长江驻点工作经费需在2020年支付</w:t>
      </w:r>
      <w:r>
        <w:rPr>
          <w:rFonts w:hint="eastAsia"/>
        </w:rPr>
        <w:t>；节能环保支出（类）环境监测与监察（款）其他环境监测与监察支出（项）：支出决算为1149.45万元，完成预算100</w:t>
      </w:r>
      <w:r>
        <w:t>%</w:t>
      </w:r>
      <w:r>
        <w:rPr>
          <w:rFonts w:hint="eastAsia"/>
        </w:rPr>
        <w:t>；节能环保支出（类）污染防治（款）其他污染防治支出（项）：支出决算为1577.17万元，完成预算51.37%，</w:t>
      </w:r>
      <w:r>
        <w:rPr>
          <w:rStyle w:val="23"/>
          <w:rFonts w:hint="eastAsia"/>
          <w:b w:val="0"/>
          <w:bCs/>
        </w:rPr>
        <w:t>决算数小于预算数的主要原因是细颗粒物源解析及恶臭气体溯源项目、观音岩饮用水源保护区规范化建设项目在2020年度实施</w:t>
      </w:r>
      <w:r>
        <w:rPr>
          <w:rFonts w:hint="eastAsia"/>
        </w:rPr>
        <w:t>；节能环保支出（类）污染减排（款）生态环境监测与信息（项）：支出决算为232.13万元，完成预算19.51%，</w:t>
      </w:r>
      <w:r>
        <w:rPr>
          <w:rStyle w:val="23"/>
          <w:rFonts w:hint="eastAsia"/>
          <w:b w:val="0"/>
          <w:bCs/>
        </w:rPr>
        <w:t>决算数小于预算数的主要原因是环境信息化三级统筹项目本年度只完成项目的招标和预付款支付，全面实施在2020年度</w:t>
      </w:r>
      <w:r>
        <w:rPr>
          <w:rFonts w:hint="eastAsia"/>
        </w:rPr>
        <w:t>；节能环保支出（类）其他节能环保支出（款）其他节能环保支出（项）：支出决算为86万元，完成预算39.63%，</w:t>
      </w:r>
      <w:r>
        <w:rPr>
          <w:rStyle w:val="23"/>
          <w:rFonts w:hint="eastAsia"/>
          <w:b w:val="0"/>
          <w:bCs/>
        </w:rPr>
        <w:t>决算数小于预算数的主要原因是长江经济带水质自动监测能力建设项目在2020年度实施，臭氧在线源解析项目飞行质谱在线源解析走航监测设备购置还未完成验收</w:t>
      </w:r>
      <w:r>
        <w:rPr>
          <w:rFonts w:hint="eastAsia"/>
        </w:rPr>
        <w:t>。</w:t>
      </w:r>
    </w:p>
    <w:p>
      <w:pPr>
        <w:spacing w:line="640" w:lineRule="exact"/>
      </w:pPr>
      <w:r>
        <w:rPr>
          <w:rFonts w:hint="eastAsia"/>
        </w:rPr>
        <w:t>4</w:t>
      </w:r>
      <w:r>
        <w:t>.</w:t>
      </w:r>
      <w:r>
        <w:rPr>
          <w:rFonts w:hint="eastAsia"/>
        </w:rPr>
        <w:t>住房保障支出（类）住房改革支出（款）住房公积金（项）：支出决算为176.4万元，完成预算100</w:t>
      </w:r>
      <w:r>
        <w:t>%</w:t>
      </w:r>
      <w:r>
        <w:rPr>
          <w:rFonts w:hint="eastAsia"/>
        </w:rPr>
        <w:t>。</w:t>
      </w:r>
    </w:p>
    <w:p>
      <w:pPr>
        <w:spacing w:line="640" w:lineRule="exact"/>
        <w:rPr>
          <w:rStyle w:val="2Char"/>
        </w:rPr>
      </w:pPr>
      <w:bookmarkStart w:id="45" w:name="_Toc15377214"/>
      <w:bookmarkStart w:id="46" w:name="_Toc15396608"/>
      <w:r>
        <w:rPr>
          <w:rStyle w:val="2Char"/>
          <w:rFonts w:ascii="黑体" w:eastAsia="黑体" w:hint="eastAsia"/>
        </w:rPr>
        <w:t>六、一</w:t>
      </w:r>
      <w:r>
        <w:rPr>
          <w:rStyle w:val="2Char"/>
          <w:rFonts w:ascii="黑体" w:eastAsia="黑体" w:hint="eastAsia"/>
          <w:b w:val="0"/>
        </w:rPr>
        <w:t>般公共预算财政拨款基本支出决算情况说明</w:t>
      </w:r>
      <w:bookmarkEnd w:id="45"/>
      <w:bookmarkEnd w:id="46"/>
      <w:r>
        <w:rPr>
          <w:rStyle w:val="2Char"/>
          <w:rFonts w:ascii="黑体" w:eastAsia="黑体"/>
          <w:b w:val="0"/>
        </w:rPr>
        <w:tab/>
      </w:r>
    </w:p>
    <w:p>
      <w:pPr>
        <w:spacing w:line="640" w:lineRule="exact"/>
      </w:pPr>
      <w:r>
        <w:t>201</w:t>
      </w:r>
      <w:r>
        <w:rPr>
          <w:rFonts w:hint="eastAsia"/>
        </w:rPr>
        <w:t>9年一般公共预算财政拨款基本支出2689.72万元，其中：</w:t>
      </w:r>
    </w:p>
    <w:p>
      <w:pPr>
        <w:spacing w:line="640" w:lineRule="exact"/>
      </w:pPr>
      <w:r>
        <w:rPr>
          <w:rFonts w:hint="eastAsia"/>
        </w:rPr>
        <w:t>人员经费2325.73万元，主要包括：基本工资、津贴补贴、奖金、绩效工资、机关事业单位基本养老保险缴费、职工基本医疗保险缴费、公务员医疗补助缴费、其他社会保障缴费、其他工资福利支出、退休费、生活补助、医疗费补助、住房公积金、其他对个人和家庭的补助支出等。</w:t>
      </w:r>
      <w:r>
        <w:br/>
      </w:r>
      <w:r>
        <w:rPr>
          <w:rFonts w:hint="eastAsia"/>
        </w:rPr>
        <w:t>　　日常公用经费363.99万元，主要包括：办公费、印刷费、水费、电费、邮电费、差旅费、公务接待费、工会经费、福利费、公务用车运行维护费、其他交通费、其他商品和服务支出等。</w:t>
      </w:r>
    </w:p>
    <w:p>
      <w:pPr>
        <w:spacing w:line="640" w:lineRule="exact"/>
        <w:rPr>
          <w:rStyle w:val="2Char"/>
          <w:rFonts w:ascii="黑体" w:eastAsia="黑体"/>
          <w:b w:val="0"/>
        </w:rPr>
      </w:pPr>
      <w:bookmarkStart w:id="47" w:name="_Toc15377215"/>
      <w:bookmarkStart w:id="48" w:name="_Toc15396609"/>
      <w:r>
        <w:rPr>
          <w:rStyle w:val="2Char"/>
          <w:rFonts w:ascii="黑体" w:eastAsia="黑体" w:hint="eastAsia"/>
        </w:rPr>
        <w:t>七、</w:t>
      </w:r>
      <w:r>
        <w:rPr>
          <w:rStyle w:val="2Char"/>
          <w:rFonts w:ascii="黑体" w:eastAsia="黑体" w:hint="eastAsia"/>
          <w:b w:val="0"/>
        </w:rPr>
        <w:t>“三公”经费财政拨款支出决算情况说明</w:t>
      </w:r>
      <w:bookmarkEnd w:id="47"/>
      <w:bookmarkEnd w:id="48"/>
    </w:p>
    <w:p>
      <w:pPr>
        <w:spacing w:line="640" w:lineRule="exact"/>
      </w:pPr>
      <w:bookmarkStart w:id="49" w:name="_Toc15377216"/>
      <w:r>
        <w:rPr>
          <w:rFonts w:hint="eastAsia"/>
        </w:rPr>
        <w:t>（一）“三公”经费财政拨款支出决算总体情况说明</w:t>
      </w:r>
      <w:bookmarkEnd w:id="49"/>
    </w:p>
    <w:p>
      <w:pPr>
        <w:spacing w:line="640" w:lineRule="exact"/>
      </w:pPr>
      <w:r>
        <w:t>201</w:t>
      </w:r>
      <w:r>
        <w:rPr>
          <w:rFonts w:hint="eastAsia"/>
        </w:rPr>
        <w:t>9年“三公”经费财政拨款支出决算为68.31万元，完成预算100</w:t>
      </w:r>
      <w:r>
        <w:t>%</w:t>
      </w:r>
      <w:r>
        <w:rPr>
          <w:rFonts w:hint="eastAsia"/>
        </w:rPr>
        <w:t>。</w:t>
      </w:r>
    </w:p>
    <w:p>
      <w:pPr>
        <w:spacing w:line="640" w:lineRule="exact"/>
      </w:pPr>
      <w:bookmarkStart w:id="50" w:name="_Toc15377217"/>
      <w:r>
        <w:rPr>
          <w:rFonts w:hint="eastAsia"/>
        </w:rPr>
        <w:t>（二）“三公”经费财政拨款支出决算具体情况说明</w:t>
      </w:r>
      <w:bookmarkEnd w:id="50"/>
    </w:p>
    <w:p>
      <w:pPr>
        <w:spacing w:line="640" w:lineRule="exact"/>
      </w:pPr>
      <w:r>
        <w:t>201</w:t>
      </w:r>
      <w:r>
        <w:rPr>
          <w:rFonts w:hint="eastAsia"/>
        </w:rPr>
        <w:t>9年“三公”经费财政拨款支出决算中，因公出国（境）费支出决算7.24万元，占10.60%；公务用车购置及运行维护费支出决算59.03万元，占86.41</w:t>
      </w:r>
      <w:r>
        <w:t>%</w:t>
      </w:r>
      <w:r>
        <w:rPr>
          <w:rFonts w:hint="eastAsia"/>
        </w:rPr>
        <w:t>；公务接待费支出决算2.04万元，占2.99</w:t>
      </w:r>
      <w:r>
        <w:t>%</w:t>
      </w:r>
      <w:r>
        <w:rPr>
          <w:rFonts w:hint="eastAsia"/>
        </w:rPr>
        <w:t>。具体情况如下：</w:t>
      </w:r>
    </w:p>
    <w:p>
      <w:r>
        <w:drawing>
          <wp:inline distT="0" distB="0" distL="0" distR="0">
            <wp:extent cx="3590925" cy="2038350"/>
            <wp:effectExtent l="0" t="0" r="0" b="0"/>
            <wp:docPr id="7" name="图表 1"/>
            <wp:cNvGraphicFramePr>
              <a:graphicFrameLocks noChangeAspect="0"/>
            </wp:cNvGraphicFramePr>
            <a:graphic>
              <a:graphicData uri="http://schemas.openxmlformats.org/drawingml/2006/chart">
                <c:chart xmlns:c="http://schemas.openxmlformats.org/drawingml/2006/chart" r:id="rId9"/>
              </a:graphicData>
            </a:graphic>
          </wp:inline>
        </w:drawing>
      </w:r>
    </w:p>
    <w:p>
      <w:pPr>
        <w:spacing w:line="640" w:lineRule="exact"/>
        <w:rPr>
          <w:b/>
        </w:rPr>
      </w:pPr>
      <w:r>
        <w:rPr>
          <w:b/>
        </w:rPr>
        <w:t>1.</w:t>
      </w:r>
      <w:r>
        <w:rPr>
          <w:rFonts w:hint="eastAsia"/>
          <w:b/>
        </w:rPr>
        <w:t>因公出国（境）经费支出</w:t>
      </w:r>
      <w:r>
        <w:rPr>
          <w:rFonts w:hint="eastAsia"/>
        </w:rPr>
        <w:t>7.24万元，</w:t>
      </w:r>
      <w:r>
        <w:rPr>
          <w:rStyle w:val="23"/>
          <w:rFonts w:hint="eastAsia"/>
          <w:b w:val="0"/>
          <w:bCs/>
        </w:rPr>
        <w:t>完成预算100</w:t>
      </w:r>
      <w:r>
        <w:rPr>
          <w:rStyle w:val="23"/>
          <w:b w:val="0"/>
          <w:bCs/>
        </w:rPr>
        <w:t>%</w:t>
      </w:r>
      <w:r>
        <w:rPr>
          <w:rStyle w:val="23"/>
          <w:rFonts w:hint="eastAsia"/>
          <w:b w:val="0"/>
          <w:bCs/>
        </w:rPr>
        <w:t>。</w:t>
      </w:r>
      <w:r>
        <w:rPr>
          <w:rFonts w:hint="eastAsia"/>
        </w:rPr>
        <w:t>全年安排因公出国（境）团组1次，出国（境）1人。因公出国（境）支出决算比</w:t>
      </w:r>
      <w:r>
        <w:t>201</w:t>
      </w:r>
      <w:r>
        <w:rPr>
          <w:rFonts w:hint="eastAsia"/>
        </w:rPr>
        <w:t>8年增加7.24万元，增长100</w:t>
      </w:r>
      <w:r>
        <w:t>%</w:t>
      </w:r>
      <w:r>
        <w:rPr>
          <w:rFonts w:hint="eastAsia"/>
        </w:rPr>
        <w:t>。主要原因是2018年无因公出国（境）安排。</w:t>
      </w:r>
    </w:p>
    <w:p>
      <w:pPr>
        <w:spacing w:line="640" w:lineRule="exact"/>
        <w:rPr>
          <w:rFonts w:ascii="宋体" w:hAnsi="宋体"/>
        </w:rPr>
      </w:pPr>
      <w:r>
        <w:rPr>
          <w:rFonts w:hint="eastAsia"/>
        </w:rPr>
        <w:t>开支内容包括：</w:t>
      </w:r>
      <w:r>
        <w:rPr>
          <w:rFonts w:ascii="宋体" w:hAnsi="宋体" w:hint="eastAsia"/>
        </w:rPr>
        <w:t>参加四川省生态环境厅组织的赴美国“大气污染防控与管理”培训产生的培训费、差旅费。</w:t>
      </w:r>
    </w:p>
    <w:p>
      <w:pPr>
        <w:spacing w:line="640" w:lineRule="exact"/>
        <w:rPr>
          <w:b/>
        </w:rPr>
      </w:pPr>
      <w:r>
        <w:rPr>
          <w:b/>
        </w:rPr>
        <w:t>2.</w:t>
      </w:r>
      <w:r>
        <w:rPr>
          <w:rFonts w:hint="eastAsia"/>
          <w:b/>
        </w:rPr>
        <w:t>公务用车购置及运行维护费支出</w:t>
      </w:r>
      <w:r>
        <w:rPr>
          <w:rFonts w:hint="eastAsia"/>
        </w:rPr>
        <w:t>59.03万元,</w:t>
      </w:r>
      <w:r>
        <w:rPr>
          <w:rStyle w:val="23"/>
          <w:rFonts w:hint="eastAsia"/>
          <w:b w:val="0"/>
          <w:bCs/>
        </w:rPr>
        <w:t>完成预算100</w:t>
      </w:r>
      <w:r>
        <w:rPr>
          <w:rStyle w:val="23"/>
          <w:b w:val="0"/>
          <w:bCs/>
        </w:rPr>
        <w:t>%</w:t>
      </w:r>
      <w:r>
        <w:rPr>
          <w:rStyle w:val="23"/>
          <w:rFonts w:hint="eastAsia"/>
          <w:b w:val="0"/>
          <w:bCs/>
        </w:rPr>
        <w:t>。</w:t>
      </w:r>
      <w:r>
        <w:rPr>
          <w:rFonts w:hint="eastAsia"/>
        </w:rPr>
        <w:t>公务用车购置及运行维护费支出决算比</w:t>
      </w:r>
      <w:r>
        <w:t>201</w:t>
      </w:r>
      <w:r>
        <w:rPr>
          <w:rFonts w:hint="eastAsia"/>
        </w:rPr>
        <w:t>8年减少58.26万元，下降49.67</w:t>
      </w:r>
      <w:r>
        <w:t>%</w:t>
      </w:r>
      <w:r>
        <w:rPr>
          <w:rFonts w:hint="eastAsia"/>
        </w:rPr>
        <w:t>。主要原因是本年度无车辆购置支出，且严格控制了车辆运维支出。</w:t>
      </w:r>
    </w:p>
    <w:p>
      <w:pPr>
        <w:spacing w:line="640" w:lineRule="exact"/>
      </w:pPr>
      <w:r>
        <w:rPr>
          <w:rFonts w:hint="eastAsia"/>
        </w:rPr>
        <w:t>其中：</w:t>
      </w:r>
      <w:r>
        <w:rPr>
          <w:rFonts w:hint="eastAsia"/>
          <w:b/>
        </w:rPr>
        <w:t>公务用车购置支出</w:t>
      </w:r>
      <w:r>
        <w:rPr>
          <w:rFonts w:hint="eastAsia"/>
        </w:rPr>
        <w:t>0万元。截至</w:t>
      </w:r>
      <w:r>
        <w:t>201</w:t>
      </w:r>
      <w:r>
        <w:rPr>
          <w:rFonts w:hint="eastAsia"/>
        </w:rPr>
        <w:t>9年</w:t>
      </w:r>
      <w:r>
        <w:t>12</w:t>
      </w:r>
      <w:r>
        <w:rPr>
          <w:rFonts w:hint="eastAsia"/>
        </w:rPr>
        <w:t>月底，单位共有公务用车26辆，其中：主要领导干部用车0辆、机要通信用车0辆、应急保障用车1辆、 执法执勤用车0辆、特种专业技术用车15辆，其他用车10辆。</w:t>
      </w:r>
    </w:p>
    <w:p>
      <w:pPr>
        <w:spacing w:line="640" w:lineRule="exact"/>
      </w:pPr>
      <w:r>
        <w:rPr>
          <w:rFonts w:hint="eastAsia"/>
          <w:b/>
        </w:rPr>
        <w:t>公务用车运行维护费支出</w:t>
      </w:r>
      <w:r>
        <w:rPr>
          <w:rFonts w:hint="eastAsia"/>
        </w:rPr>
        <w:t>59.03万元。主要用于环境监察执法检查、主要污染物减排核查、大气环境质量专项检查、环保督察、环境监测等所需的公务用车燃料费、维修费、过路过桥费、保险费等支出。</w:t>
      </w:r>
    </w:p>
    <w:p>
      <w:pPr>
        <w:spacing w:line="640" w:lineRule="exact"/>
      </w:pPr>
      <w:r>
        <w:rPr>
          <w:b/>
        </w:rPr>
        <w:t>3.</w:t>
      </w:r>
      <w:r>
        <w:rPr>
          <w:rFonts w:hint="eastAsia"/>
          <w:b/>
        </w:rPr>
        <w:t>公务接待费支出</w:t>
      </w:r>
      <w:r>
        <w:rPr>
          <w:rFonts w:hint="eastAsia"/>
        </w:rPr>
        <w:t>2.04万元，</w:t>
      </w:r>
      <w:r>
        <w:rPr>
          <w:rStyle w:val="23"/>
          <w:rFonts w:hint="eastAsia"/>
          <w:b w:val="0"/>
          <w:bCs/>
        </w:rPr>
        <w:t>完成预算100</w:t>
      </w:r>
      <w:r>
        <w:rPr>
          <w:rStyle w:val="23"/>
          <w:b w:val="0"/>
          <w:bCs/>
        </w:rPr>
        <w:t>%</w:t>
      </w:r>
      <w:r>
        <w:rPr>
          <w:rStyle w:val="23"/>
          <w:rFonts w:hint="eastAsia"/>
          <w:b w:val="0"/>
          <w:bCs/>
        </w:rPr>
        <w:t>。</w:t>
      </w:r>
      <w:r>
        <w:rPr>
          <w:rFonts w:hint="eastAsia"/>
        </w:rPr>
        <w:t>公务接待费支出决算比</w:t>
      </w:r>
      <w:r>
        <w:t>201</w:t>
      </w:r>
      <w:r>
        <w:rPr>
          <w:rFonts w:hint="eastAsia"/>
        </w:rPr>
        <w:t>8年减少2.53万元，下降55.36</w:t>
      </w:r>
      <w:r>
        <w:t>%</w:t>
      </w:r>
      <w:r>
        <w:rPr>
          <w:rFonts w:hint="eastAsia"/>
        </w:rPr>
        <w:t>。主要原因是部分接待费在结账前未来得及结算。其中：</w:t>
      </w:r>
    </w:p>
    <w:p>
      <w:pPr>
        <w:spacing w:line="640" w:lineRule="exact"/>
      </w:pPr>
      <w:r>
        <w:rPr>
          <w:rFonts w:hint="eastAsia"/>
          <w:b/>
        </w:rPr>
        <w:t>国内公务接待支出</w:t>
      </w:r>
      <w:r>
        <w:rPr>
          <w:rFonts w:hint="eastAsia"/>
        </w:rPr>
        <w:t>2.04万元，主要用于执行公务、开展业务活动开支用餐费。国内公务接待21批次，153人次（不包括陪同人员），共计支出2.04万元，具体内容包括接待上级领导专家到我市检查指导工作、资质评审及仪器维修工程师等费用。</w:t>
      </w:r>
    </w:p>
    <w:p>
      <w:pPr>
        <w:spacing w:line="640" w:lineRule="exact"/>
      </w:pPr>
      <w:r>
        <w:rPr>
          <w:rFonts w:hint="eastAsia"/>
          <w:b/>
        </w:rPr>
        <w:t>外事接待支出</w:t>
      </w:r>
      <w:r>
        <w:rPr>
          <w:rFonts w:hint="eastAsia"/>
        </w:rPr>
        <w:t>0万元。</w:t>
      </w:r>
      <w:bookmarkStart w:id="51" w:name="_Toc15396610"/>
      <w:bookmarkStart w:id="52" w:name="_Toc15377218"/>
    </w:p>
    <w:p>
      <w:pPr>
        <w:spacing w:line="640" w:lineRule="exact"/>
        <w:rPr>
          <w:rStyle w:val="2Char"/>
          <w:rFonts w:ascii="黑体" w:eastAsia="黑体"/>
        </w:rPr>
      </w:pPr>
      <w:r>
        <w:rPr>
          <w:rStyle w:val="2Char"/>
          <w:rFonts w:ascii="黑体" w:eastAsia="黑体" w:hint="eastAsia"/>
        </w:rPr>
        <w:t>八、</w:t>
      </w:r>
      <w:r>
        <w:rPr>
          <w:rStyle w:val="2Char"/>
          <w:rFonts w:ascii="黑体" w:eastAsia="黑体" w:hint="eastAsia"/>
          <w:b w:val="0"/>
        </w:rPr>
        <w:t>政府性基金预算支出决算情况说明</w:t>
      </w:r>
      <w:bookmarkEnd w:id="51"/>
      <w:bookmarkEnd w:id="52"/>
    </w:p>
    <w:p>
      <w:pPr>
        <w:spacing w:line="640" w:lineRule="exact"/>
      </w:pPr>
      <w:r>
        <w:t>201</w:t>
      </w:r>
      <w:r>
        <w:rPr>
          <w:rFonts w:hint="eastAsia"/>
        </w:rPr>
        <w:t>9年政府性基金预算拨款支出801.77万元。</w:t>
      </w:r>
    </w:p>
    <w:p>
      <w:pPr>
        <w:spacing w:line="640" w:lineRule="exact"/>
        <w:rPr>
          <w:rStyle w:val="2Char"/>
          <w:rFonts w:ascii="黑体" w:eastAsia="黑体"/>
          <w:b w:val="0"/>
        </w:rPr>
      </w:pPr>
      <w:bookmarkStart w:id="53" w:name="_Toc15396611"/>
      <w:bookmarkStart w:id="54" w:name="_Toc15377219"/>
      <w:r>
        <w:rPr>
          <w:rStyle w:val="2Char"/>
          <w:rFonts w:ascii="黑体" w:eastAsia="黑体" w:hint="eastAsia"/>
          <w:b w:val="0"/>
        </w:rPr>
        <w:t>九、国有资本经营预算支出决算情况说明</w:t>
      </w:r>
      <w:bookmarkEnd w:id="53"/>
      <w:bookmarkEnd w:id="54"/>
    </w:p>
    <w:p>
      <w:pPr>
        <w:spacing w:line="640" w:lineRule="exact"/>
      </w:pPr>
      <w:r>
        <w:t>201</w:t>
      </w:r>
      <w:r>
        <w:rPr>
          <w:rFonts w:hint="eastAsia"/>
        </w:rPr>
        <w:t>9年国有资本经营预算拨款支出0万元。</w:t>
      </w:r>
    </w:p>
    <w:p>
      <w:pPr>
        <w:spacing w:line="640" w:lineRule="exact"/>
        <w:rPr>
          <w:rStyle w:val="2Char"/>
          <w:rFonts w:ascii="黑体" w:eastAsia="黑体"/>
        </w:rPr>
      </w:pPr>
      <w:bookmarkStart w:id="55" w:name="_Toc15396612"/>
      <w:bookmarkStart w:id="56" w:name="_Toc15377221"/>
      <w:r>
        <w:rPr>
          <w:rStyle w:val="2Char"/>
          <w:rFonts w:ascii="黑体" w:eastAsia="黑体" w:hint="eastAsia"/>
        </w:rPr>
        <w:t>十</w:t>
      </w:r>
      <w:r>
        <w:rPr>
          <w:rStyle w:val="2Char"/>
          <w:rFonts w:ascii="黑体" w:eastAsia="黑体" w:hint="eastAsia"/>
          <w:b w:val="0"/>
        </w:rPr>
        <w:t>、其他重要事项的情况说明</w:t>
      </w:r>
      <w:bookmarkEnd w:id="55"/>
      <w:bookmarkEnd w:id="56"/>
    </w:p>
    <w:p>
      <w:pPr>
        <w:spacing w:line="640" w:lineRule="exact"/>
      </w:pPr>
      <w:bookmarkStart w:id="57" w:name="_Toc15377222"/>
      <w:r>
        <w:rPr>
          <w:rFonts w:hint="eastAsia"/>
        </w:rPr>
        <w:t>（一）机关运行经费支出情况</w:t>
      </w:r>
      <w:bookmarkEnd w:id="57"/>
    </w:p>
    <w:p>
      <w:pPr>
        <w:spacing w:line="640" w:lineRule="exact"/>
        <w:rPr>
          <w:color w:val="000000"/>
        </w:rPr>
      </w:pPr>
      <w:r>
        <w:t>201</w:t>
      </w:r>
      <w:r>
        <w:rPr>
          <w:rFonts w:hint="eastAsia"/>
        </w:rPr>
        <w:t>9年，市生态环境局机关运行经费支出240.71万元，比</w:t>
      </w:r>
      <w:r>
        <w:t>201</w:t>
      </w:r>
      <w:r>
        <w:rPr>
          <w:rFonts w:hint="eastAsia"/>
        </w:rPr>
        <w:t>8年增加30.38万元，增长14.44</w:t>
      </w:r>
      <w:r>
        <w:t>%</w:t>
      </w:r>
      <w:r>
        <w:rPr>
          <w:rFonts w:hint="eastAsia"/>
        </w:rPr>
        <w:t>，</w:t>
      </w:r>
      <w:r>
        <w:rPr>
          <w:rFonts w:hint="eastAsia"/>
          <w:color w:val="000000"/>
        </w:rPr>
        <w:t>主要原因一是上缴总工会的会费划拨到我局机关，由我局上缴；二是人员的增加，增加了公用经费。</w:t>
      </w:r>
    </w:p>
    <w:p>
      <w:pPr>
        <w:spacing w:line="640" w:lineRule="exact"/>
      </w:pPr>
      <w:bookmarkStart w:id="58" w:name="_Toc15377223"/>
      <w:r>
        <w:rPr>
          <w:rFonts w:hint="eastAsia"/>
        </w:rPr>
        <w:t>（二）政府采购支出情况</w:t>
      </w:r>
      <w:bookmarkEnd w:id="58"/>
    </w:p>
    <w:p>
      <w:pPr>
        <w:spacing w:line="640" w:lineRule="exact"/>
      </w:pPr>
      <w:r>
        <w:t>201</w:t>
      </w:r>
      <w:r>
        <w:rPr>
          <w:rFonts w:hint="eastAsia"/>
        </w:rPr>
        <w:t>9年，本部门政府采购支出总额2797.09万元，其中：政府采购货物支出1420.26万元、政府采购工程支出0万元、政府采购服务支出1376.83万元。主要用于乌东德水污染防控、预警及监测项目、环评评估项目、土壤污染状况调查等。</w:t>
      </w:r>
    </w:p>
    <w:p>
      <w:pPr>
        <w:spacing w:line="640" w:lineRule="exact"/>
      </w:pPr>
      <w:bookmarkStart w:id="59" w:name="_Toc15377224"/>
      <w:r>
        <w:rPr>
          <w:rFonts w:hint="eastAsia"/>
        </w:rPr>
        <w:t>（三）国有资产占有使用情况</w:t>
      </w:r>
      <w:bookmarkEnd w:id="59"/>
    </w:p>
    <w:p>
      <w:pPr>
        <w:spacing w:line="640" w:lineRule="exact"/>
        <w:rPr>
          <w:b/>
          <w:color w:val="FF0000"/>
        </w:rPr>
      </w:pPr>
      <w:r>
        <w:rPr>
          <w:rFonts w:hint="eastAsia"/>
        </w:rPr>
        <w:t>截至</w:t>
      </w:r>
      <w:r>
        <w:t>201</w:t>
      </w:r>
      <w:r>
        <w:rPr>
          <w:rFonts w:hint="eastAsia"/>
        </w:rPr>
        <w:t>9年</w:t>
      </w:r>
      <w:r>
        <w:t>12</w:t>
      </w:r>
      <w:r>
        <w:rPr>
          <w:rFonts w:hint="eastAsia"/>
        </w:rPr>
        <w:t>月</w:t>
      </w:r>
      <w:r>
        <w:t>31</w:t>
      </w:r>
      <w:r>
        <w:rPr>
          <w:rFonts w:hint="eastAsia"/>
        </w:rPr>
        <w:t>日，我部门共有车辆26辆，其中：主要领导干部用车0辆、机要通信用车0辆、应急保障用车1辆、特种专业技术用车15辆、其他用车10辆。</w:t>
      </w:r>
      <w:r>
        <w:rPr>
          <w:rFonts w:hint="eastAsia"/>
          <w:color w:val="000000"/>
        </w:rPr>
        <w:t>其他用车主要是用于环境应急监测、汽车尾气监测。单价</w:t>
      </w:r>
      <w:r>
        <w:rPr>
          <w:color w:val="000000"/>
        </w:rPr>
        <w:t>50</w:t>
      </w:r>
      <w:r>
        <w:rPr>
          <w:rFonts w:hint="eastAsia"/>
          <w:color w:val="000000"/>
        </w:rPr>
        <w:t>万元以上通用设备45台（套），单价</w:t>
      </w:r>
      <w:r>
        <w:rPr>
          <w:color w:val="000000"/>
        </w:rPr>
        <w:t>100</w:t>
      </w:r>
      <w:r>
        <w:rPr>
          <w:rFonts w:hint="eastAsia"/>
        </w:rPr>
        <w:t>万元以上专用设备3台（套）。</w:t>
      </w:r>
    </w:p>
    <w:p>
      <w:pPr>
        <w:spacing w:line="640" w:lineRule="exact"/>
      </w:pPr>
      <w:r>
        <w:rPr>
          <w:rFonts w:hint="eastAsia"/>
        </w:rPr>
        <w:t>（四）预算绩效管理情况。</w:t>
      </w:r>
    </w:p>
    <w:p>
      <w:pPr>
        <w:spacing w:line="640" w:lineRule="exact"/>
      </w:pPr>
      <w:r>
        <w:rPr>
          <w:rFonts w:hint="eastAsia"/>
        </w:rPr>
        <w:t>根据预算绩效管理要求，本部门在年初预算编制阶段，组织对第二次全国污染源普查经费项目、环保督察专项经费项目、环保三大战役项目、环境公报调查和宣传经费项目、环境监察执法项目、环境信息系统及污染源自动监控系统运维项目、业务运行经费项目、援藏援彝干部人才补助经费项目、环境监测专项支出项目开展了预算事前绩效评估，对这个9个项目编制了绩效目标，预算执行过程中，选取9个项目开展绩效监控，年终执行完毕后，对9个项目开展了绩效目标完成情况自评。</w:t>
      </w:r>
    </w:p>
    <w:p>
      <w:pPr>
        <w:spacing w:line="640" w:lineRule="exact"/>
      </w:pPr>
      <w:r>
        <w:rPr>
          <w:rFonts w:hint="eastAsia"/>
        </w:rPr>
        <w:t>本部门按要求对2019年部门整体支出开展绩效自评，从评价情况来看我部门整体支出绩效目标基本实现，</w:t>
      </w:r>
      <w:r>
        <w:t>保障了生态环境局机关、环境监察支队、环境信息中心、环境监测中心站的基本运行，人员经费保障率100%，全年任务完成率100%。实现了紧紧围绕市委“一二三五”工作思路，紧盯改善弄弄坪区域环境空气质量、保持建成区良好水质、助推“两城”建设三个重点领域，切实将生态环境工作与服务经济社会发展、服务群众需求牢牢结合，实现全年工作目标的社会效益；全市环境空气质量达到国家二级标准，全市空气质量优良率为97.5%，全省第2，同比上升2位，水环境质量保持优良，全市纳入国家考核的断面水质均为</w:t>
      </w:r>
      <w:r>
        <w:rPr>
          <w:rFonts w:hint="eastAsia"/>
        </w:rPr>
        <w:t>Ⅱ</w:t>
      </w:r>
      <w:r>
        <w:t>类及以上，地表水和饮用水水源地水质达标率连续6年保持100%，稳居全国333个城市地表水考核断面水环境质量前20名，全省前2名，建成区无黑臭水体，土壤风险保持稳定，全市未发生较大以上环境污染事件的生态效益。社会公众满意度达到80%以上。</w:t>
      </w:r>
    </w:p>
    <w:p>
      <w:pPr>
        <w:snapToGrid w:val="0"/>
        <w:spacing w:line="640" w:lineRule="exact"/>
      </w:pPr>
      <w:r>
        <w:rPr>
          <w:rFonts w:hint="eastAsia"/>
        </w:rPr>
        <w:t>本部门还自行组织了2个项目支出绩效评价，</w:t>
      </w:r>
      <w:r>
        <w:t>项目的实施，实现了提升环境监管水平、提升环保行政审批服务水平和质量、摸清全市土壤污染现状的社会效益；促进全市环境质量持续向好的生态效益，为建设美丽攀枝花作出了环境贡献。社会公众满意度达到80%以上。</w:t>
      </w:r>
    </w:p>
    <w:p>
      <w:pPr>
        <w:spacing w:line="640" w:lineRule="exact"/>
      </w:pPr>
      <w:r>
        <w:rPr>
          <w:rFonts w:ascii="楷体_GB2312" w:eastAsia="楷体_GB2312" w:cs="楷体_GB2312" w:hint="eastAsia"/>
        </w:rPr>
        <w:t>1.项目绩效目标完成情况。</w:t>
        <w:br/>
      </w:r>
      <w:r>
        <w:rPr>
          <w:rFonts w:hint="eastAsia"/>
        </w:rPr>
        <w:t xml:space="preserve">    本部门在2019年度部门决算中反映了第二次全国污染源普查经费项目、环保督察专项经费项目、环保三大战役项目、环境公报调查和宣传经费项目等9个项目绩效目标实际完成情况。</w:t>
      </w:r>
    </w:p>
    <w:p>
      <w:pPr>
        <w:spacing w:line="640" w:lineRule="exact"/>
      </w:pPr>
      <w:r>
        <w:rPr>
          <w:rFonts w:hint="eastAsia"/>
        </w:rPr>
        <w:t>（1）第二次全国污染源普查经费项目绩效目标完成情况综述。项目全年预算数140万元，执行数为140万元，完成预算的100%。通过项目实施，保障了我市第二次全国污染源普查工作的全面完成，摸清了污染源分布情况。</w:t>
      </w:r>
    </w:p>
    <w:p>
      <w:pPr>
        <w:spacing w:line="640" w:lineRule="exact"/>
      </w:pPr>
      <w:r>
        <w:rPr>
          <w:rFonts w:hint="eastAsia"/>
        </w:rPr>
        <w:t>（2）环保督察专项经费项目绩效目标完成情况综述。项目全年预算数41.08万元，执行数为41.08万元，完成预算的100%。通过项目实施，保障了全市落实中央、省级环保督察整改工作顺利开展，对各类突出环境问题整改开展精准调度和督查督办，切实做好迎接上级环保督察相关工作。</w:t>
      </w:r>
    </w:p>
    <w:p>
      <w:pPr>
        <w:spacing w:line="640" w:lineRule="exact"/>
      </w:pPr>
      <w:r>
        <w:rPr>
          <w:rFonts w:hint="eastAsia"/>
        </w:rPr>
        <w:t>（3）环保三大战役工作经费项目绩效目标完成情况综述。项目全年预算数20万元，执行数为20万元，完成预算的100%。通过项目实施，保障了省、市下达的空气和水环境质量</w:t>
      </w:r>
      <w:r>
        <w:t>2019年目标任务</w:t>
      </w:r>
      <w:r>
        <w:rPr>
          <w:rFonts w:hint="eastAsia"/>
        </w:rPr>
        <w:t>的完成。</w:t>
      </w:r>
    </w:p>
    <w:p>
      <w:pPr>
        <w:spacing w:line="640" w:lineRule="exact"/>
      </w:pPr>
      <w:r>
        <w:rPr>
          <w:rFonts w:hint="eastAsia"/>
        </w:rPr>
        <w:t>（4）环境公报、调查和宣传经费项目绩效目标完成情况综述。项目全年预算数50万元，执行数为50万元，完成预算的100%。通过项目实施，提高了执法人员的执法水平，提高了企业的遵法守法意识，让社会公众更加了解环保、关注环保。</w:t>
      </w:r>
    </w:p>
    <w:p>
      <w:pPr>
        <w:spacing w:line="640" w:lineRule="exact"/>
      </w:pPr>
      <w:r>
        <w:rPr>
          <w:rFonts w:hint="eastAsia"/>
        </w:rPr>
        <w:t>（5）环境监测专项支出项目绩效目标完成情况综述。项目全年预算数250万元，执行数为250万元，完成预算的100%。通过项目实施，保障了各项监测任务的顺利完成，提高了环境监测技术研究能力。</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82"/>
        <w:gridCol w:w="1175"/>
        <w:gridCol w:w="1025"/>
        <w:gridCol w:w="2392"/>
        <w:gridCol w:w="2394"/>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jc w:val="center"/>
            </w:pPr>
            <w:r>
              <w:rPr>
                <w:rFonts w:ascii="宋体" w:eastAsia="宋体" w:cs="宋体" w:hint="eastAsia"/>
                <w:b/>
                <w:bCs/>
                <w:kern w:val="0"/>
                <w:sz w:val="36"/>
                <w:szCs w:val="36"/>
              </w:rPr>
              <w:t>项目绩效目标完成情况表</w:t>
              <w:br/>
            </w:r>
            <w:r>
              <w:rPr>
                <w:rFonts w:ascii="宋体" w:eastAsia="宋体" w:cs="宋体" w:hint="eastAsia"/>
                <w:kern w:val="0"/>
                <w:sz w:val="36"/>
                <w:szCs w:val="36"/>
              </w:rPr>
              <w:t>(2019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第二次全国污染源普查经费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攀枝花市生态环境局</w:t>
            </w:r>
          </w:p>
        </w:tc>
      </w:tr>
      <w:tr>
        <w:trPr>
          <w:trHeight w:val="276"/>
        </w:trPr>
        <w:tc>
          <w:tcPr>
            <w:tcW w:w="58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预算执行情况(万元)</w:t>
            </w:r>
          </w:p>
        </w:tc>
        <w:tc>
          <w:tcPr>
            <w:tcW w:w="22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预算数: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140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执行数: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140</w:t>
            </w:r>
          </w:p>
        </w:tc>
      </w:tr>
      <w:tr>
        <w:trPr>
          <w:trHeight w:val="276"/>
        </w:trPr>
        <w:tc>
          <w:tcPr>
            <w:tcW w:w="58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2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140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140</w:t>
            </w:r>
          </w:p>
        </w:tc>
      </w:tr>
      <w:tr>
        <w:trPr>
          <w:trHeight w:val="904"/>
        </w:trPr>
        <w:tc>
          <w:tcPr>
            <w:tcW w:w="58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2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p>
        </w:tc>
      </w:tr>
      <w:tr>
        <w:trPr>
          <w:trHeight w:val="276"/>
        </w:trPr>
        <w:tc>
          <w:tcPr>
            <w:tcW w:w="58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年度目标完成情况</w:t>
            </w:r>
          </w:p>
        </w:tc>
        <w:tc>
          <w:tcPr>
            <w:tcW w:w="459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实际完成目标</w:t>
            </w:r>
          </w:p>
        </w:tc>
      </w:tr>
      <w:tr>
        <w:trPr>
          <w:trHeight w:val="1049"/>
        </w:trPr>
        <w:tc>
          <w:tcPr>
            <w:tcW w:w="58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59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全面完成我市第二次全国污染源普查工作。</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全面完成我市第二次全国污染源普查工作。</w:t>
            </w:r>
          </w:p>
        </w:tc>
      </w:tr>
      <w:tr>
        <w:trPr>
          <w:trHeight w:val="540"/>
        </w:trPr>
        <w:tc>
          <w:tcPr>
            <w:tcW w:w="58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绩效指标完成情况</w:t>
            </w: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实际完成指标值(包含数字及文字描述)</w:t>
            </w:r>
          </w:p>
        </w:tc>
      </w:tr>
      <w:tr>
        <w:trPr>
          <w:trHeight w:val="605"/>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培训</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sz w:val="21"/>
                <w:szCs w:val="21"/>
              </w:rPr>
              <w:t>400人次。</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sz w:val="21"/>
                <w:szCs w:val="21"/>
              </w:rPr>
              <w:t>384人次。</w:t>
            </w:r>
          </w:p>
        </w:tc>
      </w:tr>
      <w:tr>
        <w:trPr>
          <w:trHeight w:val="530"/>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污染源普查审核报告编制</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1份。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1份。</w:t>
            </w:r>
          </w:p>
        </w:tc>
      </w:tr>
      <w:tr>
        <w:trPr>
          <w:trHeight w:val="723"/>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保证污染源普查正常工作</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全面完成普查任务。</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全面完成普查任务。</w:t>
            </w:r>
          </w:p>
        </w:tc>
      </w:tr>
      <w:tr>
        <w:trPr>
          <w:trHeight w:val="550"/>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kern w:val="0"/>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完成时间</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sz w:val="21"/>
                <w:szCs w:val="21"/>
              </w:rPr>
              <w:t>2019年12月底前。</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sz w:val="21"/>
                <w:szCs w:val="21"/>
              </w:rPr>
              <w:t>2019年12月底前。</w:t>
            </w:r>
          </w:p>
        </w:tc>
      </w:tr>
      <w:tr>
        <w:trPr>
          <w:trHeight w:val="318"/>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培训费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10万元。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10万元。</w:t>
            </w:r>
          </w:p>
        </w:tc>
      </w:tr>
      <w:tr>
        <w:trPr>
          <w:trHeight w:val="384"/>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宣传费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10万元。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10万元。</w:t>
            </w:r>
          </w:p>
        </w:tc>
      </w:tr>
      <w:tr>
        <w:trPr>
          <w:trHeight w:val="577"/>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数据审核</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5万元。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5万元。</w:t>
            </w:r>
          </w:p>
        </w:tc>
      </w:tr>
      <w:tr>
        <w:trPr>
          <w:trHeight w:val="501"/>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审核报告编制</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5万元。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15万元。</w:t>
            </w:r>
          </w:p>
        </w:tc>
      </w:tr>
      <w:tr>
        <w:trPr>
          <w:trHeight w:val="567"/>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普查办办公费用</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10万元。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14万元。</w:t>
            </w:r>
          </w:p>
        </w:tc>
      </w:tr>
      <w:tr>
        <w:trPr>
          <w:trHeight w:val="684"/>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聘用人员工资</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80万元。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86万元。</w:t>
            </w:r>
          </w:p>
        </w:tc>
      </w:tr>
      <w:tr>
        <w:trPr>
          <w:trHeight w:val="684"/>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污染源分布情况</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掌握我市污染源分布情况。</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掌握我市污染源分布情况。</w:t>
            </w:r>
          </w:p>
        </w:tc>
      </w:tr>
      <w:tr>
        <w:trPr>
          <w:trHeight w:val="538"/>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生态效益指标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摸清污染源家底</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为精准治污打下基础，提高我市环境洁净度。</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为精准治污打下基础，提高我市环境洁净度。</w:t>
            </w:r>
          </w:p>
        </w:tc>
      </w:tr>
      <w:tr>
        <w:trPr>
          <w:trHeight w:val="604"/>
        </w:trPr>
        <w:tc>
          <w:tcPr>
            <w:tcW w:w="582"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群众满意度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w:t>
            </w:r>
            <w:r>
              <w:rPr>
                <w:sz w:val="21"/>
                <w:szCs w:val="21"/>
              </w:rPr>
              <w:t>95%</w:t>
            </w:r>
            <w:r>
              <w:rPr>
                <w:rFonts w:hint="eastAsia"/>
                <w:sz w:val="21"/>
                <w:szCs w:val="21"/>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w:t>
            </w:r>
            <w:r>
              <w:rPr>
                <w:sz w:val="21"/>
                <w:szCs w:val="21"/>
              </w:rPr>
              <w:t>95%</w:t>
            </w:r>
            <w:r>
              <w:rPr>
                <w:rFonts w:hint="eastAsia"/>
                <w:sz w:val="21"/>
                <w:szCs w:val="21"/>
              </w:rPr>
              <w:t>。</w:t>
            </w:r>
          </w:p>
        </w:tc>
      </w:tr>
    </w:tbl>
    <w:p>
      <w:pPr>
        <w:rPr>
          <w:sz w:val="21"/>
          <w:szCs w:val="21"/>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82"/>
        <w:gridCol w:w="1175"/>
        <w:gridCol w:w="1025"/>
        <w:gridCol w:w="2392"/>
        <w:gridCol w:w="2394"/>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jc w:val="center"/>
            </w:pPr>
            <w:r>
              <w:rPr>
                <w:rFonts w:ascii="宋体" w:eastAsia="宋体" w:cs="宋体" w:hint="eastAsia"/>
                <w:b/>
                <w:bCs/>
                <w:kern w:val="0"/>
                <w:sz w:val="36"/>
                <w:szCs w:val="36"/>
              </w:rPr>
              <w:t>项目绩效目标完成情况表</w:t>
              <w:br/>
            </w:r>
            <w:r>
              <w:rPr>
                <w:rFonts w:ascii="宋体" w:eastAsia="宋体" w:cs="宋体" w:hint="eastAsia"/>
                <w:kern w:val="0"/>
                <w:sz w:val="36"/>
                <w:szCs w:val="36"/>
              </w:rPr>
              <w:t>(2019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环保督察专项经费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攀枝花市生态环境局</w:t>
            </w:r>
          </w:p>
        </w:tc>
      </w:tr>
      <w:tr>
        <w:trPr>
          <w:trHeight w:val="276"/>
        </w:trPr>
        <w:tc>
          <w:tcPr>
            <w:tcW w:w="58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预算执行情况(万元)</w:t>
            </w:r>
          </w:p>
        </w:tc>
        <w:tc>
          <w:tcPr>
            <w:tcW w:w="22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预算数: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41.08</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执行数: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41.08</w:t>
            </w:r>
          </w:p>
        </w:tc>
      </w:tr>
      <w:tr>
        <w:trPr>
          <w:trHeight w:val="276"/>
        </w:trPr>
        <w:tc>
          <w:tcPr>
            <w:tcW w:w="58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2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41.08</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41.08</w:t>
            </w:r>
          </w:p>
        </w:tc>
      </w:tr>
      <w:tr>
        <w:trPr>
          <w:trHeight w:val="904"/>
        </w:trPr>
        <w:tc>
          <w:tcPr>
            <w:tcW w:w="58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2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p>
        </w:tc>
      </w:tr>
      <w:tr>
        <w:trPr>
          <w:trHeight w:val="276"/>
        </w:trPr>
        <w:tc>
          <w:tcPr>
            <w:tcW w:w="58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年度目标完成情况</w:t>
            </w:r>
          </w:p>
        </w:tc>
        <w:tc>
          <w:tcPr>
            <w:tcW w:w="459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实际完成目标</w:t>
            </w:r>
          </w:p>
        </w:tc>
      </w:tr>
      <w:tr>
        <w:trPr>
          <w:trHeight w:val="1049"/>
        </w:trPr>
        <w:tc>
          <w:tcPr>
            <w:tcW w:w="58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59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保障全市落实中央、省级环保督察整改工作顺利开展，对各类突出环境问题整改开展精准调度和督查督办，切实做好迎接上级环保督察相关工作。</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保障全市落实中央、省级环保督察整改工作顺利开展，对各类突出环境问题整改开展精准调度和督查督办，切实做好迎接上级环保督察相关工作。</w:t>
            </w:r>
          </w:p>
        </w:tc>
      </w:tr>
      <w:tr>
        <w:trPr>
          <w:trHeight w:val="540"/>
        </w:trPr>
        <w:tc>
          <w:tcPr>
            <w:tcW w:w="58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绩效指标完成情况</w:t>
            </w: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实际完成指标值(包含数字及文字描述)</w:t>
            </w:r>
          </w:p>
        </w:tc>
      </w:tr>
      <w:tr>
        <w:trPr>
          <w:trHeight w:val="605"/>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环保督察培训</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全年预计开展各类督察业务培训</w:t>
            </w:r>
            <w:r>
              <w:rPr>
                <w:sz w:val="21"/>
                <w:szCs w:val="21"/>
              </w:rPr>
              <w:t>2次。</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全年开展各类督察业务培训</w:t>
            </w:r>
            <w:r>
              <w:rPr>
                <w:sz w:val="21"/>
                <w:szCs w:val="21"/>
              </w:rPr>
              <w:t>2次。</w:t>
            </w:r>
          </w:p>
        </w:tc>
      </w:tr>
      <w:tr>
        <w:trPr>
          <w:trHeight w:val="530"/>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环保督察工作安排协调会议</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预计开展各类督察工作会议</w:t>
            </w:r>
            <w:r>
              <w:rPr>
                <w:sz w:val="21"/>
                <w:szCs w:val="21"/>
              </w:rPr>
              <w:t>10次。</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开展各类督察工作会议</w:t>
            </w:r>
            <w:r>
              <w:rPr>
                <w:sz w:val="21"/>
                <w:szCs w:val="21"/>
              </w:rPr>
              <w:t>10次。</w:t>
            </w:r>
          </w:p>
        </w:tc>
      </w:tr>
      <w:tr>
        <w:trPr>
          <w:trHeight w:val="530"/>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迎接上级督查检查</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迎接上级督察检查</w:t>
            </w:r>
            <w:r>
              <w:rPr>
                <w:sz w:val="21"/>
                <w:szCs w:val="21"/>
              </w:rPr>
              <w:t>4次。</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迎接上级督察检查</w:t>
            </w:r>
            <w:r>
              <w:rPr>
                <w:sz w:val="21"/>
                <w:szCs w:val="21"/>
              </w:rPr>
              <w:t>4次。</w:t>
            </w:r>
          </w:p>
        </w:tc>
      </w:tr>
      <w:tr>
        <w:trPr>
          <w:trHeight w:val="723"/>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保障全市落实中央、省级环保督察整改工作顺利开展</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对各类突出环境问题整改开展精准调度和督查督办，推进全市各类环保督察反馈问题整改，切实做好迎接上级环保督察相关工作。</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对各类突出环境问题整改开展精准调度和督查督办，推进全市各类环保督察反馈问题整改，切实做好迎接上级环保督察相关工作。</w:t>
            </w:r>
          </w:p>
        </w:tc>
      </w:tr>
      <w:tr>
        <w:trPr>
          <w:trHeight w:val="550"/>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kern w:val="0"/>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按年度工作安排推进</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sz w:val="21"/>
                <w:szCs w:val="21"/>
              </w:rPr>
              <w:t>2019年</w:t>
            </w:r>
            <w:r>
              <w:rPr>
                <w:rFonts w:hint="eastAsia"/>
                <w:sz w:val="21"/>
                <w:szCs w:val="21"/>
              </w:rPr>
              <w:t>全年</w:t>
            </w:r>
            <w:r>
              <w:rPr>
                <w:sz w:val="21"/>
                <w:szCs w:val="21"/>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sz w:val="21"/>
                <w:szCs w:val="21"/>
              </w:rPr>
              <w:t>2019年</w:t>
            </w:r>
            <w:r>
              <w:rPr>
                <w:rFonts w:hint="eastAsia"/>
                <w:sz w:val="21"/>
                <w:szCs w:val="21"/>
              </w:rPr>
              <w:t>全年</w:t>
            </w:r>
            <w:r>
              <w:rPr>
                <w:sz w:val="21"/>
                <w:szCs w:val="21"/>
              </w:rPr>
              <w:t>。</w:t>
            </w:r>
          </w:p>
        </w:tc>
      </w:tr>
      <w:tr>
        <w:trPr>
          <w:trHeight w:val="318"/>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环保督察业务培训费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开展培训</w:t>
            </w:r>
            <w:r>
              <w:rPr>
                <w:sz w:val="21"/>
                <w:szCs w:val="21"/>
              </w:rPr>
              <w:t>2次，每次专家讲课费、场地租赁费、资料费等1.5万元，共计3万元。</w:t>
            </w:r>
          </w:p>
        </w:tc>
        <w:tc>
          <w:tcPr>
            <w:tcW w:w="239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支付印刷费</w:t>
            </w:r>
            <w:r>
              <w:rPr>
                <w:sz w:val="21"/>
                <w:szCs w:val="21"/>
              </w:rPr>
              <w:t>4.05万元，邮电费2.4万元，差旅费3.56万，租赁费7.2万元，劳务费19.82万元，其他交通费2.79万元，其他1.27万元。</w:t>
            </w:r>
          </w:p>
        </w:tc>
      </w:tr>
      <w:tr>
        <w:trPr>
          <w:trHeight w:val="384"/>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环保督察工作安排协调会议</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召开会议</w:t>
            </w:r>
            <w:r>
              <w:rPr>
                <w:sz w:val="21"/>
                <w:szCs w:val="21"/>
              </w:rPr>
              <w:t>10次，每次场地租赁费2000元，共计2万元。</w:t>
            </w:r>
          </w:p>
        </w:tc>
        <w:tc>
          <w:tcPr>
            <w:tcW w:w="2392" w:type="dxa"/>
            <w:vMerge/>
            <w:tcBorders>
              <w:left w:val="single" w:sz="4" w:space="0" w:color="000000"/>
              <w:right w:val="single" w:sz="4" w:space="0" w:color="000000"/>
            </w:tcBorders>
            <w:noWrap/>
            <w:tcMar>
              <w:top w:w="15" w:type="dxa"/>
              <w:left w:w="15" w:type="dxa"/>
              <w:right w:w="15" w:type="dxa"/>
            </w:tcMar>
            <w:vAlign w:val="center"/>
          </w:tcPr>
          <w:p/>
        </w:tc>
      </w:tr>
      <w:tr>
        <w:trPr>
          <w:trHeight w:val="577"/>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迎接上级督查检查费用</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迎接上级督察检查</w:t>
            </w:r>
            <w:r>
              <w:rPr>
                <w:sz w:val="21"/>
                <w:szCs w:val="21"/>
              </w:rPr>
              <w:t>4次，资料费、场地租赁费等5000元/次，共计2万元。</w:t>
            </w:r>
          </w:p>
        </w:tc>
        <w:tc>
          <w:tcPr>
            <w:tcW w:w="2392" w:type="dxa"/>
            <w:vMerge/>
            <w:tcBorders>
              <w:left w:val="single" w:sz="4" w:space="0" w:color="000000"/>
              <w:right w:val="single" w:sz="4" w:space="0" w:color="000000"/>
            </w:tcBorders>
            <w:noWrap/>
            <w:tcMar>
              <w:top w:w="15" w:type="dxa"/>
              <w:left w:w="15" w:type="dxa"/>
              <w:right w:w="15" w:type="dxa"/>
            </w:tcMar>
            <w:vAlign w:val="center"/>
          </w:tcPr>
          <w:p/>
        </w:tc>
      </w:tr>
      <w:tr>
        <w:trPr>
          <w:trHeight w:val="501"/>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其他工作经费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按工作实际支出，约计</w:t>
            </w:r>
            <w:r>
              <w:rPr>
                <w:sz w:val="21"/>
                <w:szCs w:val="21"/>
              </w:rPr>
              <w:t>34.08万元。</w:t>
            </w:r>
          </w:p>
        </w:tc>
        <w:tc>
          <w:tcPr>
            <w:tcW w:w="2392"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r>
      <w:tr>
        <w:trPr>
          <w:trHeight w:val="538"/>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生态效益指标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保障全市落实中央、省级环保督察整改工作顺利开展</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对各类突出环境问题整改开展精准调度和督查督办，推进全市各类环保督察反馈问题整改，切实做好迎接上级环保督察相关工作。</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对各类突出环境问题整改开展精准调度和督查督办，推进全市各类环保督察反馈问题整改，切实做好迎接上级环保督察相关工作。</w:t>
            </w:r>
          </w:p>
        </w:tc>
      </w:tr>
      <w:tr>
        <w:trPr>
          <w:trHeight w:val="604"/>
        </w:trPr>
        <w:tc>
          <w:tcPr>
            <w:tcW w:w="582"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群众满意度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抽样调查满意度达到基本满意以上。</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抽样调查满意度达到基本满意以上。</w:t>
            </w:r>
          </w:p>
        </w:tc>
      </w:tr>
    </w:tbl>
    <w:p>
      <w:pPr>
        <w:rPr>
          <w:sz w:val="21"/>
          <w:szCs w:val="21"/>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82"/>
        <w:gridCol w:w="1175"/>
        <w:gridCol w:w="1025"/>
        <w:gridCol w:w="2392"/>
        <w:gridCol w:w="2394"/>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jc w:val="center"/>
            </w:pPr>
            <w:r>
              <w:rPr>
                <w:rFonts w:ascii="宋体" w:eastAsia="宋体" w:cs="宋体" w:hint="eastAsia"/>
                <w:b/>
                <w:bCs/>
                <w:kern w:val="0"/>
                <w:sz w:val="36"/>
                <w:szCs w:val="36"/>
              </w:rPr>
              <w:t>项目绩效目标完成情况表</w:t>
              <w:br/>
            </w:r>
            <w:r>
              <w:rPr>
                <w:rFonts w:ascii="宋体" w:eastAsia="宋体" w:cs="宋体" w:hint="eastAsia"/>
                <w:kern w:val="0"/>
                <w:sz w:val="36"/>
                <w:szCs w:val="36"/>
              </w:rPr>
              <w:t>(2019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环保三大战役工作经费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攀枝花市生态环境局</w:t>
            </w:r>
          </w:p>
        </w:tc>
      </w:tr>
      <w:tr>
        <w:trPr>
          <w:trHeight w:val="276"/>
        </w:trPr>
        <w:tc>
          <w:tcPr>
            <w:tcW w:w="58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预算执行情况(万元)</w:t>
            </w:r>
          </w:p>
        </w:tc>
        <w:tc>
          <w:tcPr>
            <w:tcW w:w="22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预算数: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20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执行数: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20</w:t>
            </w:r>
          </w:p>
        </w:tc>
      </w:tr>
      <w:tr>
        <w:trPr>
          <w:trHeight w:val="276"/>
        </w:trPr>
        <w:tc>
          <w:tcPr>
            <w:tcW w:w="58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2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20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20</w:t>
            </w:r>
          </w:p>
        </w:tc>
      </w:tr>
      <w:tr>
        <w:trPr>
          <w:trHeight w:val="904"/>
        </w:trPr>
        <w:tc>
          <w:tcPr>
            <w:tcW w:w="58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2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p>
        </w:tc>
      </w:tr>
      <w:tr>
        <w:trPr>
          <w:trHeight w:val="276"/>
        </w:trPr>
        <w:tc>
          <w:tcPr>
            <w:tcW w:w="58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年度目标完成情况</w:t>
            </w:r>
          </w:p>
        </w:tc>
        <w:tc>
          <w:tcPr>
            <w:tcW w:w="459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实际完成目标</w:t>
            </w:r>
          </w:p>
        </w:tc>
      </w:tr>
      <w:tr>
        <w:trPr>
          <w:trHeight w:val="1049"/>
        </w:trPr>
        <w:tc>
          <w:tcPr>
            <w:tcW w:w="58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59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完成省、市下达的空气和水环境质量</w:t>
            </w:r>
            <w:r>
              <w:rPr>
                <w:sz w:val="21"/>
                <w:szCs w:val="21"/>
              </w:rPr>
              <w:t>2019年目标任务。</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完成了省、市下达的空气和水环境质量</w:t>
            </w:r>
            <w:r>
              <w:rPr>
                <w:sz w:val="21"/>
                <w:szCs w:val="21"/>
              </w:rPr>
              <w:t>2019年目标任务。</w:t>
            </w:r>
          </w:p>
        </w:tc>
      </w:tr>
      <w:tr>
        <w:trPr>
          <w:trHeight w:val="540"/>
        </w:trPr>
        <w:tc>
          <w:tcPr>
            <w:tcW w:w="58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绩效指标完成情况</w:t>
            </w: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实际完成指标值(包含数字及文字描述)</w:t>
            </w:r>
          </w:p>
        </w:tc>
      </w:tr>
      <w:tr>
        <w:trPr>
          <w:trHeight w:val="605"/>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完成省、市政府下达的水、气目标任务</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召开全市各相关责任部门落实任务及推进工作会议</w:t>
            </w:r>
            <w:r>
              <w:rPr>
                <w:sz w:val="21"/>
                <w:szCs w:val="21"/>
              </w:rPr>
              <w:t>3次，邀请专家对全市环境质量评估研判；成立专项工作领导小组办公室。</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大气污染防治召开</w:t>
            </w:r>
            <w:r>
              <w:rPr>
                <w:sz w:val="21"/>
                <w:szCs w:val="21"/>
              </w:rPr>
              <w:t>17次工作会议，邀请专家对环境质量、排污口设置等进行研判。</w:t>
            </w:r>
          </w:p>
        </w:tc>
      </w:tr>
      <w:tr>
        <w:trPr>
          <w:trHeight w:val="530"/>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水源地调查、评估及资料编制</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编制城乡饮用水源调查报告</w:t>
            </w:r>
            <w:r>
              <w:rPr>
                <w:sz w:val="21"/>
                <w:szCs w:val="21"/>
              </w:rPr>
              <w:t>1份。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编制城乡饮用水源调查报告</w:t>
            </w:r>
            <w:r>
              <w:rPr>
                <w:sz w:val="21"/>
                <w:szCs w:val="21"/>
              </w:rPr>
              <w:t>1份。</w:t>
            </w:r>
          </w:p>
        </w:tc>
      </w:tr>
      <w:tr>
        <w:trPr>
          <w:trHeight w:val="723"/>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保障流域水质、饮用水水质、空气质量达标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环境空气质量持续达标：完成省下达的指标任务；完成市政府下达的目标任务：长江流域水质优良（达到或优于Ⅲ类）比例保持</w:t>
            </w:r>
            <w:r>
              <w:rPr>
                <w:sz w:val="21"/>
                <w:szCs w:val="21"/>
              </w:rPr>
              <w:t>100%，县级及以上城市集中式饮用水水源地水质达到或优于Ⅲ类比例达到100%。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环境空气质量持续达标：完成省下达的指标任务；完成市政府下达的目标任务：长江流域水质优良（达到或优于Ⅲ类）比例保持</w:t>
            </w:r>
            <w:r>
              <w:rPr>
                <w:sz w:val="21"/>
                <w:szCs w:val="21"/>
              </w:rPr>
              <w:t>100%，县级及以上城市集中式饮用水水源地水质达到或优于Ⅲ类比例达到100%。</w:t>
            </w:r>
          </w:p>
        </w:tc>
      </w:tr>
      <w:tr>
        <w:trPr>
          <w:trHeight w:val="550"/>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kern w:val="0"/>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完成时间</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sz w:val="21"/>
                <w:szCs w:val="21"/>
              </w:rPr>
              <w:t>2019年</w:t>
            </w:r>
            <w:r>
              <w:rPr>
                <w:rFonts w:hint="eastAsia"/>
                <w:sz w:val="21"/>
                <w:szCs w:val="21"/>
              </w:rPr>
              <w:t>12月底</w:t>
            </w:r>
            <w:r>
              <w:rPr>
                <w:sz w:val="21"/>
                <w:szCs w:val="21"/>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sz w:val="21"/>
                <w:szCs w:val="21"/>
              </w:rPr>
              <w:t>2019年</w:t>
            </w:r>
            <w:r>
              <w:rPr>
                <w:rFonts w:hint="eastAsia"/>
                <w:sz w:val="21"/>
                <w:szCs w:val="21"/>
              </w:rPr>
              <w:t>12月底</w:t>
            </w:r>
            <w:r>
              <w:rPr>
                <w:sz w:val="21"/>
                <w:szCs w:val="21"/>
              </w:rPr>
              <w:t>。</w:t>
            </w:r>
          </w:p>
        </w:tc>
      </w:tr>
      <w:tr>
        <w:trPr>
          <w:trHeight w:val="318"/>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会议经费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会议、资料费6万元。</w:t>
            </w:r>
          </w:p>
        </w:tc>
        <w:tc>
          <w:tcPr>
            <w:tcW w:w="239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支付专家咨询费</w:t>
            </w:r>
            <w:r>
              <w:rPr>
                <w:sz w:val="21"/>
                <w:szCs w:val="21"/>
              </w:rPr>
              <w:t>1.74万元，差旅费11.09万元，培训费0.2万元，劳务费0.3万元，委托业务费4.6万元，其他交通费1.16万元，其他0.91万元。</w:t>
            </w:r>
          </w:p>
        </w:tc>
      </w:tr>
      <w:tr>
        <w:trPr>
          <w:trHeight w:val="384"/>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专家经费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邀请专家研判咨询费、差旅费5万元。</w:t>
            </w:r>
          </w:p>
        </w:tc>
        <w:tc>
          <w:tcPr>
            <w:tcW w:w="2392" w:type="dxa"/>
            <w:vMerge/>
            <w:tcBorders>
              <w:left w:val="single" w:sz="4" w:space="0" w:color="000000"/>
              <w:right w:val="single" w:sz="4" w:space="0" w:color="000000"/>
            </w:tcBorders>
            <w:noWrap/>
            <w:tcMar>
              <w:top w:w="15" w:type="dxa"/>
              <w:left w:w="15" w:type="dxa"/>
              <w:right w:w="15" w:type="dxa"/>
            </w:tcMar>
            <w:vAlign w:val="center"/>
          </w:tcPr>
          <w:p/>
        </w:tc>
      </w:tr>
      <w:tr>
        <w:trPr>
          <w:trHeight w:val="577"/>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成立专项工作领导小组费用</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办公设备购置、劳务费4万元。</w:t>
            </w:r>
          </w:p>
        </w:tc>
        <w:tc>
          <w:tcPr>
            <w:tcW w:w="2392" w:type="dxa"/>
            <w:vMerge/>
            <w:tcBorders>
              <w:left w:val="single" w:sz="4" w:space="0" w:color="000000"/>
              <w:right w:val="single" w:sz="4" w:space="0" w:color="000000"/>
            </w:tcBorders>
            <w:noWrap/>
            <w:tcMar>
              <w:top w:w="15" w:type="dxa"/>
              <w:left w:w="15" w:type="dxa"/>
              <w:right w:w="15" w:type="dxa"/>
            </w:tcMar>
            <w:vAlign w:val="center"/>
          </w:tcPr>
          <w:p/>
        </w:tc>
      </w:tr>
      <w:tr>
        <w:trPr>
          <w:trHeight w:val="501"/>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水源地调查、评估及资料编制</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委托编制费用5万元。</w:t>
            </w:r>
          </w:p>
        </w:tc>
        <w:tc>
          <w:tcPr>
            <w:tcW w:w="2392"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r>
      <w:tr>
        <w:trPr>
          <w:trHeight w:val="538"/>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社会效益</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环境对公众健康的影响</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良好的环境质量是全市人民身心健康的保障。</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sz w:val="21"/>
                <w:szCs w:val="21"/>
              </w:rPr>
              <w:t>2019年我市空气质量全面达标，优良率97.5%全省排位第二。</w:t>
            </w:r>
          </w:p>
        </w:tc>
      </w:tr>
      <w:tr>
        <w:trPr>
          <w:trHeight w:val="538"/>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kern w:val="0"/>
                <w:sz w:val="21"/>
                <w:szCs w:val="21"/>
              </w:rPr>
            </w:pPr>
            <w:r>
              <w:rPr>
                <w:rFonts w:hint="eastAsia"/>
                <w:kern w:val="0"/>
                <w:sz w:val="21"/>
                <w:szCs w:val="21"/>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生态效益指标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对环境的改善作用</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推动环境保护，保障水源地水质。</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推动环境保护，保障水源地水质。</w:t>
            </w:r>
          </w:p>
        </w:tc>
      </w:tr>
      <w:tr>
        <w:trPr>
          <w:trHeight w:val="604"/>
        </w:trPr>
        <w:tc>
          <w:tcPr>
            <w:tcW w:w="582"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社会公众对环境质量度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基本满意。</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基本满意。</w:t>
            </w:r>
          </w:p>
        </w:tc>
      </w:tr>
      <w:tr>
        <w:trPr>
          <w:trHeight w:val="1034"/>
        </w:trPr>
        <w:tc>
          <w:tcPr>
            <w:tcW w:w="9960" w:type="dxa"/>
            <w:gridSpan w:val="6"/>
            <w:tcBorders>
              <w:top w:val="nil"/>
              <w:left w:val="nil"/>
              <w:bottom w:val="nil"/>
              <w:right w:val="nil"/>
            </w:tcBorders>
            <w:noWrap/>
            <w:tcMar>
              <w:top w:w="15" w:type="dxa"/>
              <w:left w:w="15" w:type="dxa"/>
              <w:right w:w="15" w:type="dxa"/>
            </w:tcMar>
            <w:vAlign w:val="center"/>
          </w:tcPr>
          <w:p>
            <w:pPr>
              <w:jc w:val="center"/>
            </w:pPr>
            <w:r>
              <w:rPr>
                <w:rFonts w:ascii="宋体" w:eastAsia="宋体" w:cs="宋体" w:hint="eastAsia"/>
                <w:b/>
                <w:bCs/>
                <w:kern w:val="0"/>
                <w:sz w:val="36"/>
                <w:szCs w:val="36"/>
              </w:rPr>
              <w:t>项目绩效目标完成情况表</w:t>
              <w:br/>
            </w:r>
            <w:r>
              <w:rPr>
                <w:rFonts w:ascii="宋体" w:eastAsia="宋体" w:cs="宋体" w:hint="eastAsia"/>
                <w:kern w:val="0"/>
                <w:sz w:val="36"/>
                <w:szCs w:val="36"/>
              </w:rPr>
              <w:t>(2019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环境公报、调查和宣传经费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攀枝花市生态环境局</w:t>
            </w:r>
          </w:p>
        </w:tc>
      </w:tr>
      <w:tr>
        <w:trPr>
          <w:trHeight w:val="276"/>
        </w:trPr>
        <w:tc>
          <w:tcPr>
            <w:tcW w:w="58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预算执行情况(万元)</w:t>
            </w:r>
          </w:p>
        </w:tc>
        <w:tc>
          <w:tcPr>
            <w:tcW w:w="22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预算数: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50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执行数: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50</w:t>
            </w:r>
          </w:p>
        </w:tc>
      </w:tr>
      <w:tr>
        <w:trPr>
          <w:trHeight w:val="276"/>
        </w:trPr>
        <w:tc>
          <w:tcPr>
            <w:tcW w:w="58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2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50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50</w:t>
            </w:r>
          </w:p>
        </w:tc>
      </w:tr>
      <w:tr>
        <w:trPr>
          <w:trHeight w:val="904"/>
        </w:trPr>
        <w:tc>
          <w:tcPr>
            <w:tcW w:w="58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2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p>
        </w:tc>
      </w:tr>
      <w:tr>
        <w:trPr>
          <w:trHeight w:val="276"/>
        </w:trPr>
        <w:tc>
          <w:tcPr>
            <w:tcW w:w="58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年度目标完成情况</w:t>
            </w:r>
          </w:p>
        </w:tc>
        <w:tc>
          <w:tcPr>
            <w:tcW w:w="459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实际完成目标</w:t>
            </w:r>
          </w:p>
        </w:tc>
      </w:tr>
      <w:tr>
        <w:trPr>
          <w:trHeight w:val="1049"/>
        </w:trPr>
        <w:tc>
          <w:tcPr>
            <w:tcW w:w="58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59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完成环保系统执法人员培训，对我市环保工作特色、亮点、环境质量状况进行宣传,提高执法人员执法水平，提高社会公众环保意识。</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完成环保系统执法人员培训，对我市环保工作特色、亮点、环境质量状况进行宣传,提高执法人员执法水平，提高社会公众环保意识。</w:t>
            </w:r>
          </w:p>
        </w:tc>
      </w:tr>
      <w:tr>
        <w:trPr>
          <w:trHeight w:val="540"/>
        </w:trPr>
        <w:tc>
          <w:tcPr>
            <w:tcW w:w="58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绩效指标完成情况</w:t>
            </w: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实际完成指标值(包含数字及文字描述)</w:t>
            </w:r>
          </w:p>
        </w:tc>
      </w:tr>
      <w:tr>
        <w:trPr>
          <w:trHeight w:val="605"/>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法律法规培训</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组织两期全市环保系统执法人员的环保法律法规培训。</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未统一组织培训，由各科室自行安排参加省上组织培训。</w:t>
            </w:r>
          </w:p>
        </w:tc>
      </w:tr>
      <w:tr>
        <w:trPr>
          <w:trHeight w:val="530"/>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环保宣传</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至少开展</w:t>
            </w:r>
            <w:r>
              <w:rPr>
                <w:sz w:val="21"/>
                <w:szCs w:val="21"/>
              </w:rPr>
              <w:t>3次大型的环保宣传活动，委托第三方管理官方微信微博。</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开展</w:t>
            </w:r>
            <w:r>
              <w:rPr>
                <w:sz w:val="21"/>
                <w:szCs w:val="21"/>
              </w:rPr>
              <w:t>3次大型的环保宣传活动，委托第三方管理官方微信微博费用。</w:t>
            </w:r>
          </w:p>
        </w:tc>
      </w:tr>
      <w:tr>
        <w:trPr>
          <w:trHeight w:val="530"/>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聘请法律顾问</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聘请法律顾问一名。</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聘请法律顾问一名。</w:t>
            </w:r>
          </w:p>
        </w:tc>
      </w:tr>
      <w:tr>
        <w:trPr>
          <w:trHeight w:val="723"/>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法律法规培训的质量</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加强执法人员的执法能力，强化企业守法意识。</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加强执法人员的执法能力，强化企业守法意识。</w:t>
            </w:r>
          </w:p>
        </w:tc>
      </w:tr>
      <w:tr>
        <w:trPr>
          <w:trHeight w:val="723"/>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环保宣传的质量</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进一步加强公众环保意识，形成人人参与环保的新风尚。</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进一步加强公众环保意识，形成人人参与环保的新风尚。</w:t>
            </w:r>
          </w:p>
        </w:tc>
      </w:tr>
      <w:tr>
        <w:trPr>
          <w:trHeight w:val="723"/>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聘请法律顾问要求</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对重大行政决策、重大疑难行政执法案件、民商事合同进行合法性审查，出具法律意见。</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对重大行政决策、重大疑难行政执法案件、民商事合同进行合法性审查，出具法律意见。</w:t>
            </w:r>
          </w:p>
        </w:tc>
      </w:tr>
      <w:tr>
        <w:trPr>
          <w:trHeight w:val="550"/>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kern w:val="0"/>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完成时间</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sz w:val="21"/>
                <w:szCs w:val="21"/>
              </w:rPr>
              <w:t>2019年12月底前。</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sz w:val="21"/>
                <w:szCs w:val="21"/>
              </w:rPr>
              <w:t>2019年12月底前。</w:t>
            </w:r>
          </w:p>
        </w:tc>
      </w:tr>
      <w:tr>
        <w:trPr>
          <w:trHeight w:val="318"/>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法律法规培训费用</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16万元。</w:t>
            </w:r>
          </w:p>
        </w:tc>
        <w:tc>
          <w:tcPr>
            <w:tcW w:w="239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培训费、差旅费</w:t>
            </w:r>
            <w:r>
              <w:rPr>
                <w:sz w:val="21"/>
                <w:szCs w:val="21"/>
              </w:rPr>
              <w:t>22.17万元</w:t>
            </w:r>
            <w:r>
              <w:rPr>
                <w:rFonts w:hint="eastAsia"/>
                <w:sz w:val="21"/>
                <w:szCs w:val="21"/>
              </w:rPr>
              <w:t>，宣传费</w:t>
            </w:r>
            <w:r>
              <w:rPr>
                <w:sz w:val="21"/>
                <w:szCs w:val="21"/>
              </w:rPr>
              <w:t>19.82万元</w:t>
            </w:r>
            <w:r>
              <w:rPr>
                <w:rFonts w:hint="eastAsia"/>
                <w:sz w:val="21"/>
                <w:szCs w:val="21"/>
              </w:rPr>
              <w:t>，官方微信微博的推送工作费用</w:t>
            </w:r>
            <w:r>
              <w:rPr>
                <w:sz w:val="21"/>
                <w:szCs w:val="21"/>
              </w:rPr>
              <w:t>4.9万元</w:t>
            </w:r>
            <w:r>
              <w:rPr>
                <w:rFonts w:hint="eastAsia"/>
                <w:sz w:val="21"/>
                <w:szCs w:val="21"/>
              </w:rPr>
              <w:t>，支付法律顾问费</w:t>
            </w:r>
            <w:r>
              <w:rPr>
                <w:sz w:val="21"/>
                <w:szCs w:val="21"/>
              </w:rPr>
              <w:t>2万元。</w:t>
            </w:r>
          </w:p>
        </w:tc>
      </w:tr>
      <w:tr>
        <w:trPr>
          <w:trHeight w:val="384"/>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媒体宣传费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14万元。</w:t>
            </w:r>
          </w:p>
        </w:tc>
        <w:tc>
          <w:tcPr>
            <w:tcW w:w="2392" w:type="dxa"/>
            <w:vMerge/>
            <w:tcBorders>
              <w:left w:val="single" w:sz="4" w:space="0" w:color="000000"/>
              <w:right w:val="single" w:sz="4" w:space="0" w:color="000000"/>
            </w:tcBorders>
            <w:noWrap/>
            <w:tcMar>
              <w:top w:w="15" w:type="dxa"/>
              <w:left w:w="15" w:type="dxa"/>
              <w:right w:w="15" w:type="dxa"/>
            </w:tcMar>
            <w:vAlign w:val="center"/>
          </w:tcPr>
          <w:p/>
        </w:tc>
      </w:tr>
      <w:tr>
        <w:trPr>
          <w:trHeight w:val="384"/>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委托第三方管理官方微信微博费用</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14万元。</w:t>
            </w:r>
          </w:p>
        </w:tc>
        <w:tc>
          <w:tcPr>
            <w:tcW w:w="2392" w:type="dxa"/>
            <w:vMerge/>
            <w:tcBorders>
              <w:left w:val="single" w:sz="4" w:space="0" w:color="000000"/>
              <w:right w:val="single" w:sz="4" w:space="0" w:color="000000"/>
            </w:tcBorders>
            <w:noWrap/>
            <w:tcMar>
              <w:top w:w="15" w:type="dxa"/>
              <w:left w:w="15" w:type="dxa"/>
              <w:right w:w="15" w:type="dxa"/>
            </w:tcMar>
            <w:vAlign w:val="center"/>
          </w:tcPr>
          <w:p/>
        </w:tc>
      </w:tr>
      <w:tr>
        <w:trPr>
          <w:trHeight w:val="577"/>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聘请法律顾问年费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5万元。</w:t>
            </w:r>
          </w:p>
        </w:tc>
        <w:tc>
          <w:tcPr>
            <w:tcW w:w="2392" w:type="dxa"/>
            <w:vMerge/>
            <w:tcBorders>
              <w:left w:val="single" w:sz="4" w:space="0" w:color="000000"/>
              <w:right w:val="single" w:sz="4" w:space="0" w:color="000000"/>
            </w:tcBorders>
            <w:noWrap/>
            <w:tcMar>
              <w:top w:w="15" w:type="dxa"/>
              <w:left w:w="15" w:type="dxa"/>
              <w:right w:w="15" w:type="dxa"/>
            </w:tcMar>
            <w:vAlign w:val="center"/>
          </w:tcPr>
          <w:p/>
        </w:tc>
      </w:tr>
      <w:tr>
        <w:trPr>
          <w:trHeight w:val="501"/>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案件代理费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5万元。</w:t>
            </w:r>
          </w:p>
        </w:tc>
        <w:tc>
          <w:tcPr>
            <w:tcW w:w="2392"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r>
      <w:tr>
        <w:trPr>
          <w:trHeight w:val="538"/>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社会效益</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对工作的促进作用</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提高执法人员的执法水平，提高企业的遵法守法意识。让社会公众更加的了解环保，关注环保，从而自觉地去践行环保。</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提高执法人员的执法水平，提高企业的遵法守法意识。让社会公众更加的了解环保，关注环保，从而自觉地去践行环保。</w:t>
            </w:r>
          </w:p>
        </w:tc>
      </w:tr>
      <w:tr>
        <w:trPr>
          <w:trHeight w:val="604"/>
        </w:trPr>
        <w:tc>
          <w:tcPr>
            <w:tcW w:w="582"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公众对依法行政和宣传工作的满意度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w:t>
            </w:r>
            <w:r>
              <w:rPr>
                <w:sz w:val="21"/>
                <w:szCs w:val="21"/>
              </w:rPr>
              <w:t>90%</w:t>
            </w:r>
            <w:r>
              <w:rPr>
                <w:rFonts w:hint="eastAsia"/>
                <w:sz w:val="21"/>
                <w:szCs w:val="21"/>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w:t>
            </w:r>
            <w:r>
              <w:rPr>
                <w:sz w:val="21"/>
                <w:szCs w:val="21"/>
              </w:rPr>
              <w:t>90%</w:t>
            </w:r>
            <w:r>
              <w:rPr>
                <w:rFonts w:hint="eastAsia"/>
                <w:sz w:val="21"/>
                <w:szCs w:val="21"/>
              </w:rPr>
              <w:t>。</w:t>
            </w:r>
          </w:p>
        </w:tc>
      </w:tr>
    </w:tbl>
    <w:p>
      <w:pPr>
        <w:rPr>
          <w:sz w:val="21"/>
          <w:szCs w:val="21"/>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82"/>
        <w:gridCol w:w="1175"/>
        <w:gridCol w:w="1025"/>
        <w:gridCol w:w="2392"/>
        <w:gridCol w:w="2394"/>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jc w:val="center"/>
            </w:pPr>
            <w:r>
              <w:rPr>
                <w:rFonts w:ascii="宋体" w:eastAsia="宋体" w:cs="宋体" w:hint="eastAsia"/>
                <w:b/>
                <w:bCs/>
                <w:kern w:val="0"/>
                <w:sz w:val="36"/>
                <w:szCs w:val="36"/>
              </w:rPr>
              <w:t>项目绩效目标完成情况表</w:t>
              <w:br/>
            </w:r>
            <w:r>
              <w:rPr>
                <w:rFonts w:ascii="宋体" w:eastAsia="宋体" w:cs="宋体" w:hint="eastAsia"/>
                <w:kern w:val="0"/>
                <w:sz w:val="36"/>
                <w:szCs w:val="36"/>
              </w:rPr>
              <w:t>(2019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环境监测专项支出</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攀枝花市环境监测中心站</w:t>
            </w:r>
          </w:p>
        </w:tc>
      </w:tr>
      <w:tr>
        <w:trPr>
          <w:trHeight w:val="276"/>
        </w:trPr>
        <w:tc>
          <w:tcPr>
            <w:tcW w:w="58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预算执行情况(万元)</w:t>
            </w:r>
          </w:p>
        </w:tc>
        <w:tc>
          <w:tcPr>
            <w:tcW w:w="22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预算数: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250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执行数: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250</w:t>
            </w:r>
          </w:p>
        </w:tc>
      </w:tr>
      <w:tr>
        <w:trPr>
          <w:trHeight w:val="276"/>
        </w:trPr>
        <w:tc>
          <w:tcPr>
            <w:tcW w:w="58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2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250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sz w:val="21"/>
                <w:szCs w:val="21"/>
              </w:rPr>
              <w:t>250</w:t>
            </w:r>
          </w:p>
        </w:tc>
      </w:tr>
      <w:tr>
        <w:trPr>
          <w:trHeight w:val="904"/>
        </w:trPr>
        <w:tc>
          <w:tcPr>
            <w:tcW w:w="58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2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p>
        </w:tc>
      </w:tr>
      <w:tr>
        <w:trPr>
          <w:trHeight w:val="276"/>
        </w:trPr>
        <w:tc>
          <w:tcPr>
            <w:tcW w:w="58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年度目标完成情况</w:t>
            </w:r>
          </w:p>
        </w:tc>
        <w:tc>
          <w:tcPr>
            <w:tcW w:w="459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实际完成目标</w:t>
            </w:r>
          </w:p>
        </w:tc>
      </w:tr>
      <w:tr>
        <w:trPr>
          <w:trHeight w:val="1049"/>
        </w:trPr>
        <w:tc>
          <w:tcPr>
            <w:tcW w:w="58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59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全面落实“十三五”生态环境保护规划的相关内容，围绕改善环境质量的工作核心，全面落实《四川省生态环境监测网络建设工作方案》和</w:t>
            </w:r>
            <w:r>
              <w:rPr>
                <w:sz w:val="21"/>
                <w:szCs w:val="21"/>
              </w:rPr>
              <w:t>2019年四川省环境监测工作要点要求，积极配合推进环境监测体制改革工作，以环境管理需求为导向，围绕“十三五”我市环境保护重点工作，加强监测能力建设，强化监测质量管理，全面完成各项环境监测任务，为环保“三大战役”和监察执法提供强有力的支撑和保障，确保我站年度工作目标顺利实现。</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根据《四川省生态环境厅关于印发</w:t>
            </w:r>
            <w:r>
              <w:rPr>
                <w:sz w:val="21"/>
                <w:szCs w:val="21"/>
              </w:rPr>
              <w:t>&lt;2019年全省环境监测方案&gt;的通知》（川环办发[2019]10号）、《攀枝花市生态环境局关于印发2019年攀枝花市环境监测方案及污染源监测计划的通知》（攀环发[2019]66号）文件要求，按时完成了地表水环境质量监测、饮用水水质监测、水质自动站监测、空气质量自动站监测、噪声监测和降水、降尘、硫酸盐化速率监测、辐射监测、土壤监测、农村环境质量监测、污染源监督性监测、纠纷与仲裁监测、委托监测等监测任务，所有监测数据均及时上报市环保局和省站。</w:t>
            </w:r>
          </w:p>
        </w:tc>
      </w:tr>
      <w:tr>
        <w:trPr>
          <w:trHeight w:val="540"/>
        </w:trPr>
        <w:tc>
          <w:tcPr>
            <w:tcW w:w="582"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绩效指标完成情况</w:t>
            </w: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r>
              <w:rPr>
                <w:rFonts w:hint="eastAsia"/>
                <w:kern w:val="0"/>
                <w:sz w:val="21"/>
                <w:szCs w:val="21"/>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实际完成指标值(包含数字及文字描述)</w:t>
            </w:r>
          </w:p>
        </w:tc>
      </w:tr>
      <w:tr>
        <w:trPr>
          <w:trHeight w:val="605"/>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完成</w:t>
            </w:r>
            <w:r>
              <w:rPr>
                <w:sz w:val="21"/>
                <w:szCs w:val="21"/>
              </w:rPr>
              <w:t>2019年环境质量监测</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对</w:t>
            </w:r>
            <w:r>
              <w:rPr>
                <w:sz w:val="21"/>
                <w:szCs w:val="21"/>
              </w:rPr>
              <w:t>13个环境质量自动监测站点数据进行审核；对10个地表水监测断面、9个县级及以上集中式饮用水源地，20个乡镇饮用水水源地、3个降水测点、257个噪声监测点位的开展常规监测工作；全年拟审核自动监测数据58万个，拟报送各类手工监测数据10000余个。</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完成弄弄坪、河门口、炳草岗、仁和、四十中小、磨石箐、米易县审计局等</w:t>
            </w:r>
            <w:r>
              <w:rPr>
                <w:sz w:val="21"/>
                <w:szCs w:val="21"/>
              </w:rPr>
              <w:t>7个环境空气自动站约36.8万个小时数据的审核统计工作；完成柏枝、雅砻江口、龙洞、文体楼、倮果、昔街大桥等6个水质自动站约21万个小时数据的审核统计工作；完成金沙江、雅砻江、安宁河等3条河流和二滩水库共计10个监测断面3564项次的水质监测；完成观音岩水库、金江水厂、晃桥水库、胜利水库、金沙徐家渡、金沙荷花池、金沙密地、金沙江高粱坪、桐子林镇雅砻江纳尔河村（盐边水厂）等9个县级及以上饮用水水源地3372项次的水质监测；完成盐边县、米易县、仁和</w:t>
            </w:r>
            <w:r>
              <w:rPr>
                <w:rFonts w:hint="eastAsia"/>
                <w:sz w:val="21"/>
                <w:szCs w:val="21"/>
              </w:rPr>
              <w:t>区等</w:t>
            </w:r>
            <w:r>
              <w:rPr>
                <w:sz w:val="21"/>
                <w:szCs w:val="21"/>
              </w:rPr>
              <w:t>3个县（区）境内18个乡镇共计20个饮用水水源地2236项次的水质监测；完成3个降水测点共计1992项次的环境空气手工监测工作；完成5个功能区测点、45个路段道路交通测点、207个区域测点共1108点次的声环境监测工作。</w:t>
            </w:r>
          </w:p>
        </w:tc>
      </w:tr>
      <w:tr>
        <w:trPr>
          <w:trHeight w:val="530"/>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完成</w:t>
            </w:r>
            <w:r>
              <w:rPr>
                <w:sz w:val="21"/>
                <w:szCs w:val="21"/>
              </w:rPr>
              <w:t>2019年污染源监测</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按季度完成</w:t>
            </w:r>
            <w:r>
              <w:rPr>
                <w:sz w:val="21"/>
                <w:szCs w:val="21"/>
              </w:rPr>
              <w:t>69家国省控重点污染源及若干市控污染源的水、气、噪声、土壤等要素的监督性监测。全年预计监测300余家次，出具各类监测数据5000余个</w:t>
            </w:r>
            <w:r>
              <w:rPr>
                <w:rFonts w:hint="eastAsia"/>
                <w:sz w:val="21"/>
                <w:szCs w:val="21"/>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完成</w:t>
            </w:r>
            <w:r>
              <w:rPr>
                <w:sz w:val="21"/>
                <w:szCs w:val="21"/>
              </w:rPr>
              <w:t>22个入河排污口、26家水重点源（含在线监测设备比对）、21家气重点源（含在线监测设备比对）、7家重金属废水企业、7家重金属废气排放企业开、7家水其它、5家水减排、13家气其它、3家气减排、10家企业辐射环境、3家重点企业噪声、4家重点企业周边土壤环境、11家企业的固体废弃物等污染源至少一次的监督性监测。</w:t>
            </w:r>
          </w:p>
        </w:tc>
      </w:tr>
      <w:tr>
        <w:trPr>
          <w:trHeight w:val="530"/>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完成</w:t>
            </w:r>
            <w:r>
              <w:rPr>
                <w:sz w:val="21"/>
                <w:szCs w:val="21"/>
              </w:rPr>
              <w:t>2019年专项监测</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对米易县双沟村、盐边县箐河村</w:t>
            </w:r>
            <w:r>
              <w:rPr>
                <w:sz w:val="21"/>
                <w:szCs w:val="21"/>
              </w:rPr>
              <w:t>2个村庄涉及饮用水、环境空气、地表水、土壤、污水处理厂等5个要素的开展农村环境监测工作；对国家送达的采测分离水样进行检测，对省总站分包的土壤样品开展检测。污染源普查、地表水采测分离监测等专项工作。</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完成米易县双沟村、盐边县箐河村</w:t>
            </w:r>
            <w:r>
              <w:rPr>
                <w:sz w:val="21"/>
                <w:szCs w:val="21"/>
              </w:rPr>
              <w:t>2个村庄涉及饮用水、环境空气、地表水、土壤、污水处理厂等5个要素的环境监测工作；完成国家（省）站委托的包括2800项次水样、5520项次土壤样品的检测工作。</w:t>
            </w:r>
          </w:p>
        </w:tc>
      </w:tr>
      <w:tr>
        <w:trPr>
          <w:trHeight w:val="530"/>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完成</w:t>
            </w:r>
            <w:r>
              <w:rPr>
                <w:sz w:val="21"/>
                <w:szCs w:val="21"/>
              </w:rPr>
              <w:t>2019年其他监测</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完成突发事故应急监测、社会服务性监测等工作该部分工作依实际情况产生，依据以往经验预估监测</w:t>
            </w:r>
            <w:r>
              <w:rPr>
                <w:sz w:val="21"/>
                <w:szCs w:val="21"/>
              </w:rPr>
              <w:t>200次左右，出具监测数据4000个</w:t>
            </w:r>
            <w:r>
              <w:rPr>
                <w:rFonts w:hint="eastAsia"/>
                <w:sz w:val="21"/>
                <w:szCs w:val="21"/>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应对木里火灾连续</w:t>
            </w:r>
            <w:r>
              <w:rPr>
                <w:sz w:val="21"/>
                <w:szCs w:val="21"/>
              </w:rPr>
              <w:t>8天每天对雅砻江盐边水厂饮用水水源地、柏枝断面水质开展应急监测工作；完成钒钛新城水环境、环境空气、土壤环境的监测工作。完成委托；完成全市100余家次的废水、废气、噪声、饮食油烟、电磁辐射（移动基站）及电离辐射（辐射源、射线装置）的委托、投诉监测工作。完成全市30余家辐射源、射线装置检查工作。</w:t>
            </w:r>
          </w:p>
        </w:tc>
      </w:tr>
      <w:tr>
        <w:trPr>
          <w:trHeight w:val="723"/>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监测任务完成</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监测数据及时、准确、有效，全年任务完成率〉</w:t>
            </w:r>
            <w:r>
              <w:rPr>
                <w:sz w:val="21"/>
                <w:szCs w:val="21"/>
              </w:rPr>
              <w:t>90%; 数据准确率=100%; 环境质量数据上报有效率=100%</w:t>
            </w:r>
            <w:r>
              <w:rPr>
                <w:rFonts w:hint="eastAsia"/>
                <w:sz w:val="21"/>
                <w:szCs w:val="21"/>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监测数据及时、准确、有效，全年任务完成率〉</w:t>
            </w:r>
            <w:r>
              <w:rPr>
                <w:sz w:val="21"/>
                <w:szCs w:val="21"/>
              </w:rPr>
              <w:t>90%；数据准确率=100%；环境质量数据上报有效率=100%</w:t>
            </w:r>
            <w:r>
              <w:rPr>
                <w:rFonts w:hint="eastAsia"/>
                <w:sz w:val="21"/>
                <w:szCs w:val="21"/>
              </w:rPr>
              <w:t>。</w:t>
            </w:r>
          </w:p>
        </w:tc>
      </w:tr>
      <w:tr>
        <w:trPr>
          <w:trHeight w:val="550"/>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kern w:val="0"/>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完成时间</w:t>
            </w:r>
          </w:p>
        </w:tc>
        <w:tc>
          <w:tcPr>
            <w:tcW w:w="2394"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rPr>
                <w:sz w:val="21"/>
                <w:szCs w:val="21"/>
              </w:rPr>
            </w:pPr>
            <w:r>
              <w:rPr>
                <w:sz w:val="21"/>
                <w:szCs w:val="21"/>
              </w:rPr>
              <w:t>2020年1月前</w:t>
            </w:r>
          </w:p>
        </w:tc>
        <w:tc>
          <w:tcPr>
            <w:tcW w:w="239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pPr>
              <w:rPr>
                <w:sz w:val="21"/>
                <w:szCs w:val="21"/>
              </w:rPr>
            </w:pPr>
            <w:r>
              <w:rPr>
                <w:sz w:val="21"/>
                <w:szCs w:val="21"/>
              </w:rPr>
              <w:t>2020年1月前</w:t>
            </w:r>
          </w:p>
        </w:tc>
      </w:tr>
      <w:tr>
        <w:trPr>
          <w:trHeight w:val="318"/>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成本指标</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ind w:firstLineChars="0" w:firstLine="0"/>
              <w:rPr>
                <w:sz w:val="21"/>
                <w:szCs w:val="21"/>
              </w:rPr>
            </w:pPr>
            <w:r>
              <w:rPr>
                <w:sz w:val="21"/>
                <w:szCs w:val="21"/>
              </w:rPr>
              <w:t>2019年环境质量监测</w:t>
            </w:r>
          </w:p>
        </w:tc>
        <w:tc>
          <w:tcPr>
            <w:tcW w:w="239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ind w:firstLineChars="0" w:firstLine="0"/>
              <w:rPr>
                <w:sz w:val="21"/>
                <w:szCs w:val="21"/>
              </w:rPr>
            </w:pPr>
            <w:r>
              <w:rPr>
                <w:rFonts w:hint="eastAsia"/>
                <w:sz w:val="21"/>
                <w:szCs w:val="21"/>
              </w:rPr>
              <w:t>全年保证运行的化玻试剂、设备耗材等专用材料费</w:t>
            </w:r>
            <w:r>
              <w:rPr>
                <w:sz w:val="21"/>
                <w:szCs w:val="21"/>
              </w:rPr>
              <w:t>40万元:仪器设备维修、维护费10万元:实验室水电费5万元;监测报告印刷、装订费5万元</w:t>
            </w:r>
            <w:r>
              <w:rPr>
                <w:rFonts w:hint="eastAsia"/>
                <w:sz w:val="21"/>
                <w:szCs w:val="21"/>
              </w:rPr>
              <w:t>。</w:t>
            </w:r>
          </w:p>
        </w:tc>
        <w:tc>
          <w:tcPr>
            <w:tcW w:w="239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ind w:firstLineChars="0" w:firstLine="0"/>
              <w:rPr>
                <w:sz w:val="21"/>
                <w:szCs w:val="21"/>
              </w:rPr>
            </w:pPr>
            <w:r>
              <w:rPr>
                <w:rFonts w:hint="eastAsia"/>
                <w:sz w:val="21"/>
                <w:szCs w:val="21"/>
              </w:rPr>
              <w:t>用于化玻试剂、设备耗材等专用材料费，仪器设备维修、维护费，实验室水电费，监测报告印刷、装订费等合计</w:t>
            </w:r>
            <w:r>
              <w:rPr>
                <w:sz w:val="21"/>
                <w:szCs w:val="21"/>
              </w:rPr>
              <w:t>75万元。</w:t>
            </w:r>
          </w:p>
        </w:tc>
      </w:tr>
      <w:tr>
        <w:trPr>
          <w:trHeight w:val="384"/>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成本指标</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ind w:firstLineChars="0" w:firstLine="0"/>
              <w:rPr>
                <w:sz w:val="21"/>
                <w:szCs w:val="21"/>
              </w:rPr>
            </w:pPr>
            <w:r>
              <w:rPr>
                <w:sz w:val="21"/>
                <w:szCs w:val="21"/>
              </w:rPr>
              <w:t>2019年污染源监测</w:t>
            </w:r>
          </w:p>
        </w:tc>
        <w:tc>
          <w:tcPr>
            <w:tcW w:w="239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ind w:firstLineChars="0" w:firstLine="0"/>
              <w:rPr>
                <w:sz w:val="21"/>
                <w:szCs w:val="21"/>
              </w:rPr>
            </w:pPr>
            <w:r>
              <w:rPr>
                <w:rFonts w:hint="eastAsia"/>
                <w:sz w:val="21"/>
                <w:szCs w:val="21"/>
              </w:rPr>
              <w:t>全年保证运行的污染源监测仪器配件及材料费</w:t>
            </w:r>
            <w:r>
              <w:rPr>
                <w:sz w:val="21"/>
                <w:szCs w:val="21"/>
              </w:rPr>
              <w:t>50万元;计量检定及测试费15万元:实验室废水、废气处置费20万元;数据网络专线使用费5万元</w:t>
            </w:r>
            <w:r>
              <w:rPr>
                <w:rFonts w:hint="eastAsia"/>
                <w:sz w:val="21"/>
                <w:szCs w:val="21"/>
              </w:rPr>
              <w:t>。</w:t>
            </w:r>
          </w:p>
        </w:tc>
        <w:tc>
          <w:tcPr>
            <w:tcW w:w="239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ind w:firstLineChars="0" w:firstLine="0"/>
              <w:rPr>
                <w:sz w:val="21"/>
                <w:szCs w:val="21"/>
              </w:rPr>
            </w:pPr>
            <w:r>
              <w:rPr>
                <w:rFonts w:hint="eastAsia"/>
                <w:sz w:val="21"/>
                <w:szCs w:val="21"/>
              </w:rPr>
              <w:t>用于污染源监测仪器配件及材料费，计量检定及测试费，实验室废水、废气处置费，数据网络专线使用费等合计</w:t>
            </w:r>
            <w:r>
              <w:rPr>
                <w:sz w:val="21"/>
                <w:szCs w:val="21"/>
              </w:rPr>
              <w:t>110万元。</w:t>
            </w:r>
          </w:p>
        </w:tc>
      </w:tr>
      <w:tr>
        <w:trPr>
          <w:trHeight w:val="384"/>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成本指标</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ind w:firstLineChars="0" w:firstLine="0"/>
              <w:rPr>
                <w:sz w:val="21"/>
                <w:szCs w:val="21"/>
              </w:rPr>
            </w:pPr>
            <w:r>
              <w:rPr>
                <w:sz w:val="21"/>
                <w:szCs w:val="21"/>
              </w:rPr>
              <w:t>2019年专项监测</w:t>
            </w:r>
          </w:p>
        </w:tc>
        <w:tc>
          <w:tcPr>
            <w:tcW w:w="239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ind w:firstLineChars="0" w:firstLine="0"/>
              <w:rPr>
                <w:sz w:val="21"/>
                <w:szCs w:val="21"/>
              </w:rPr>
            </w:pPr>
            <w:r>
              <w:rPr>
                <w:rFonts w:hint="eastAsia"/>
                <w:sz w:val="21"/>
                <w:szCs w:val="21"/>
              </w:rPr>
              <w:t>完成</w:t>
            </w:r>
            <w:r>
              <w:rPr>
                <w:sz w:val="21"/>
                <w:szCs w:val="21"/>
              </w:rPr>
              <w:t>2019年新增专项监测任务所需的现场监测作业劳务费20万元;现场监测车燃油、维修费15万；专项检测工作培训费5万元</w:t>
            </w:r>
            <w:r>
              <w:rPr>
                <w:rFonts w:hint="eastAsia"/>
                <w:sz w:val="21"/>
                <w:szCs w:val="21"/>
              </w:rPr>
              <w:t>。</w:t>
            </w:r>
          </w:p>
        </w:tc>
        <w:tc>
          <w:tcPr>
            <w:tcW w:w="239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ind w:firstLineChars="0" w:firstLine="0"/>
              <w:rPr>
                <w:sz w:val="21"/>
                <w:szCs w:val="21"/>
              </w:rPr>
            </w:pPr>
            <w:r>
              <w:rPr>
                <w:rFonts w:hint="eastAsia"/>
                <w:sz w:val="21"/>
                <w:szCs w:val="21"/>
              </w:rPr>
              <w:t>用于现场监测车燃油、维修费，专项监测培训差旅费等合计</w:t>
            </w:r>
            <w:r>
              <w:rPr>
                <w:sz w:val="21"/>
                <w:szCs w:val="21"/>
              </w:rPr>
              <w:t>55万元。</w:t>
            </w:r>
          </w:p>
        </w:tc>
      </w:tr>
      <w:tr>
        <w:trPr>
          <w:trHeight w:val="577"/>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成本指标</w:t>
            </w:r>
          </w:p>
        </w:tc>
        <w:tc>
          <w:tcPr>
            <w:tcW w:w="2392"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pPr>
              <w:ind w:firstLineChars="0" w:firstLine="0"/>
              <w:rPr>
                <w:sz w:val="21"/>
                <w:szCs w:val="21"/>
              </w:rPr>
            </w:pPr>
            <w:r>
              <w:rPr>
                <w:sz w:val="21"/>
                <w:szCs w:val="21"/>
              </w:rPr>
              <w:t>2019年其他监测</w:t>
            </w:r>
          </w:p>
        </w:tc>
        <w:tc>
          <w:tcPr>
            <w:tcW w:w="239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ind w:firstLineChars="0" w:firstLine="0"/>
              <w:rPr>
                <w:sz w:val="21"/>
                <w:szCs w:val="21"/>
              </w:rPr>
            </w:pPr>
            <w:r>
              <w:rPr>
                <w:rFonts w:hint="eastAsia"/>
                <w:sz w:val="21"/>
                <w:szCs w:val="21"/>
              </w:rPr>
              <w:t>突发事故应急监测、社会服务性监测等任务所需检测专用材料费</w:t>
            </w:r>
            <w:r>
              <w:rPr>
                <w:sz w:val="21"/>
                <w:szCs w:val="21"/>
              </w:rPr>
              <w:t>10万元</w:t>
            </w:r>
            <w:r>
              <w:rPr>
                <w:rFonts w:hint="eastAsia"/>
                <w:sz w:val="21"/>
                <w:szCs w:val="21"/>
              </w:rPr>
              <w:t>。</w:t>
            </w:r>
          </w:p>
        </w:tc>
        <w:tc>
          <w:tcPr>
            <w:tcW w:w="239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pPr>
              <w:ind w:firstLineChars="0" w:firstLine="0"/>
              <w:rPr>
                <w:sz w:val="21"/>
                <w:szCs w:val="21"/>
              </w:rPr>
            </w:pPr>
            <w:r>
              <w:rPr>
                <w:rFonts w:hint="eastAsia"/>
                <w:sz w:val="21"/>
                <w:szCs w:val="21"/>
              </w:rPr>
              <w:t>用于突发事故应急监测、社会服务性监测等任务所需监测专用材料费</w:t>
            </w:r>
            <w:r>
              <w:rPr>
                <w:sz w:val="21"/>
                <w:szCs w:val="21"/>
              </w:rPr>
              <w:t>10万元。</w:t>
            </w:r>
          </w:p>
        </w:tc>
      </w:tr>
      <w:tr>
        <w:trPr>
          <w:trHeight w:val="538"/>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社会效益</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做好环境保护工作的技术支撑和执法保障，确保政府、公众对环境质量的知情权，为企业、老百姓提供环境监测服务</w:t>
            </w:r>
          </w:p>
        </w:tc>
        <w:tc>
          <w:tcPr>
            <w:tcW w:w="2394"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监测数据准确有效、信息公开及时准确、综合分析为环境管理提供科学的决策依据。全年按日发布环境空气质量，发布率</w:t>
            </w:r>
            <w:r>
              <w:rPr>
                <w:sz w:val="21"/>
                <w:szCs w:val="21"/>
              </w:rPr>
              <w:t>=100%，准确率=100%;社会服务性监测完成率＞90%;执法监测完成率95%</w:t>
            </w:r>
            <w:r>
              <w:rPr>
                <w:rFonts w:hint="eastAsia"/>
                <w:sz w:val="21"/>
                <w:szCs w:val="21"/>
              </w:rPr>
              <w:t>。</w:t>
            </w:r>
          </w:p>
        </w:tc>
        <w:tc>
          <w:tcPr>
            <w:tcW w:w="2392"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监测数据准确有效。在攀枝花市环境保护局门户网站按月公开攀枝花市境内金沙江、雅砻江、安宁河水质月监测情况，观音岩、河门口、水文站、金江</w:t>
            </w:r>
            <w:r>
              <w:rPr>
                <w:sz w:val="21"/>
                <w:szCs w:val="21"/>
              </w:rPr>
              <w:t>4个市级饮用水水源地水质，桐子林镇、弄弄坪、河门口3个降水监测点酸雨频率情况；按季度公开荷花池徐、家渡等7个县（区）级饮用水水源地水质，功能区声环境状况；按季度公开18个乡镇集中式饮用水水源地水质状况；实时发布水质自动站及空气自动站的环境质量监测状况，每日发布未来3天我市环境空气质量预报；发布率=100%，准确率=100%。编写《2018年攀枝花市环境质量报告书》《2018年攀</w:t>
            </w:r>
            <w:r>
              <w:rPr>
                <w:rFonts w:hint="eastAsia"/>
                <w:sz w:val="21"/>
                <w:szCs w:val="21"/>
              </w:rPr>
              <w:t>枝花市农村环境质量综合评价报告》，全面分析上年度环境质量，为环境管理提供科学的决策依据。编写《攀枝花市</w:t>
            </w:r>
            <w:r>
              <w:rPr>
                <w:sz w:val="21"/>
                <w:szCs w:val="21"/>
              </w:rPr>
              <w:t>2019年省重点排污单位污染源监督性监测情况的报告》，为环境管理部门全面了解重点排污单位污染源排放情况。</w:t>
            </w:r>
          </w:p>
        </w:tc>
      </w:tr>
      <w:tr>
        <w:trPr>
          <w:trHeight w:val="604"/>
        </w:trPr>
        <w:tc>
          <w:tcPr>
            <w:tcW w:w="582" w:type="dxa"/>
            <w:vMerge/>
            <w:tcBorders>
              <w:left w:val="single" w:sz="4" w:space="0" w:color="000000"/>
              <w:right w:val="single" w:sz="4" w:space="0" w:color="000000"/>
            </w:tcBorders>
            <w:noWrap/>
            <w:tcMar>
              <w:top w:w="15" w:type="dxa"/>
              <w:left w:w="15" w:type="dxa"/>
              <w:right w:w="15" w:type="dxa"/>
            </w:tcMar>
            <w:vAlign w:val="center"/>
          </w:tc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环保部门满意度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w:t>
            </w:r>
            <w:r>
              <w:rPr>
                <w:sz w:val="21"/>
                <w:szCs w:val="21"/>
              </w:rPr>
              <w:t>90%</w:t>
            </w:r>
            <w:r>
              <w:rPr>
                <w:rFonts w:hint="eastAsia"/>
                <w:sz w:val="21"/>
                <w:szCs w:val="21"/>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w:t>
            </w:r>
            <w:r>
              <w:rPr>
                <w:sz w:val="21"/>
                <w:szCs w:val="21"/>
              </w:rPr>
              <w:t>90%</w:t>
            </w:r>
            <w:r>
              <w:rPr>
                <w:rFonts w:hint="eastAsia"/>
                <w:sz w:val="21"/>
                <w:szCs w:val="21"/>
              </w:rPr>
              <w:t>。</w:t>
            </w:r>
          </w:p>
        </w:tc>
      </w:tr>
      <w:tr>
        <w:trPr>
          <w:trHeight w:val="604"/>
        </w:trPr>
        <w:tc>
          <w:tcPr>
            <w:tcW w:w="582" w:type="dxa"/>
            <w:tcBorders>
              <w:left w:val="single" w:sz="4" w:space="0" w:color="000000"/>
              <w:bottom w:val="single" w:sz="4" w:space="0" w:color="000000"/>
              <w:right w:val="single" w:sz="4" w:space="0" w:color="000000"/>
            </w:tcBorders>
            <w:noWrap/>
            <w:tcMar>
              <w:top w:w="15" w:type="dxa"/>
              <w:left w:w="15" w:type="dxa"/>
              <w:right w:w="15" w:type="dxa"/>
            </w:tcMar>
            <w:vAlign w:val="center"/>
          </w:tcPr>
          <w:p>
            <w:pPr>
              <w:rPr>
                <w:sz w:val="21"/>
                <w:szCs w:val="21"/>
              </w:rPr>
            </w:pPr>
          </w:p>
        </w:tc>
        <w:tc>
          <w:tcPr>
            <w:tcW w:w="1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kern w:val="0"/>
                <w:sz w:val="21"/>
                <w:szCs w:val="21"/>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社会公众满意度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w:t>
            </w:r>
            <w:r>
              <w:rPr>
                <w:sz w:val="21"/>
                <w:szCs w:val="21"/>
              </w:rPr>
              <w:t>90%</w:t>
            </w:r>
            <w:r>
              <w:rPr>
                <w:rFonts w:hint="eastAsia"/>
                <w:sz w:val="21"/>
                <w:szCs w:val="21"/>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ind w:firstLineChars="0" w:firstLine="0"/>
              <w:rPr>
                <w:sz w:val="21"/>
                <w:szCs w:val="21"/>
              </w:rPr>
            </w:pPr>
            <w:r>
              <w:rPr>
                <w:rFonts w:hint="eastAsia"/>
                <w:sz w:val="21"/>
                <w:szCs w:val="21"/>
              </w:rPr>
              <w:t>≥</w:t>
            </w:r>
            <w:r>
              <w:rPr>
                <w:sz w:val="21"/>
                <w:szCs w:val="21"/>
              </w:rPr>
              <w:t>90%</w:t>
            </w:r>
            <w:r>
              <w:rPr>
                <w:rFonts w:hint="eastAsia"/>
                <w:sz w:val="21"/>
                <w:szCs w:val="21"/>
              </w:rPr>
              <w:t>。</w:t>
            </w:r>
          </w:p>
        </w:tc>
      </w:tr>
    </w:tbl>
    <w:p/>
    <w:p>
      <w:pPr>
        <w:spacing w:line="640" w:lineRule="exact"/>
        <w:rPr>
          <w:rFonts w:ascii="楷体_GB2312" w:eastAsia="楷体_GB2312" w:cs="楷体_GB2312"/>
        </w:rPr>
      </w:pPr>
      <w:r>
        <w:rPr>
          <w:rFonts w:ascii="楷体_GB2312" w:eastAsia="楷体_GB2312" w:cs="楷体_GB2312" w:hint="eastAsia"/>
        </w:rPr>
        <w:t>2.部门绩效评价结果。</w:t>
      </w:r>
    </w:p>
    <w:p>
      <w:pPr>
        <w:spacing w:line="640" w:lineRule="exact"/>
      </w:pPr>
      <w:r>
        <w:rPr>
          <w:rFonts w:hint="eastAsia"/>
        </w:rPr>
        <w:t>本部门按要求对2019年部门整体支出绩效评价情况开展自评，《攀枝花市生态环境局2019年部门整体支出绩效评价报告》见附件（附件1）。</w:t>
      </w:r>
    </w:p>
    <w:p>
      <w:pPr>
        <w:spacing w:line="640" w:lineRule="exact"/>
      </w:pPr>
      <w:r>
        <w:rPr>
          <w:rFonts w:hint="eastAsia"/>
        </w:rPr>
        <w:t>本部门自行组织对环评评估项目、土壤污染防治项目开展了绩效评价，《重点项目2019年绩效评价报告》见附件（附件2）。</w:t>
      </w:r>
      <w:r>
        <w:br w:type="page"/>
      </w:r>
    </w:p>
    <w:p>
      <w:pPr>
        <w:spacing w:line="640" w:lineRule="exact"/>
        <w:rPr>
          <w:rStyle w:val="1Char"/>
          <w:rFonts w:ascii="黑体" w:eastAsia="黑体"/>
          <w:b w:val="0"/>
        </w:rPr>
      </w:pPr>
      <w:bookmarkStart w:id="60" w:name="_Toc15396613"/>
      <w:bookmarkStart w:id="61" w:name="_Toc15377225"/>
      <w:r>
        <w:rPr>
          <w:rStyle w:val="1Char"/>
          <w:rFonts w:ascii="黑体" w:eastAsia="黑体" w:hint="eastAsia"/>
          <w:b w:val="0"/>
        </w:rPr>
        <w:t>名词解释</w:t>
      </w:r>
      <w:bookmarkEnd w:id="60"/>
      <w:bookmarkEnd w:id="61"/>
    </w:p>
    <w:p>
      <w:pPr>
        <w:spacing w:line="640" w:lineRule="exact"/>
      </w:pPr>
    </w:p>
    <w:p>
      <w:pPr>
        <w:pStyle w:val="28"/>
        <w:spacing w:line="640" w:lineRule="exact"/>
        <w:ind w:firstLineChars="200" w:firstLine="640"/>
        <w:rPr>
          <w:rFonts w:cs="Times New Roman"/>
          <w:sz w:val="32"/>
          <w:szCs w:val="32"/>
        </w:rPr>
      </w:pPr>
      <w:bookmarkStart w:id="62" w:name="_Toc15377226"/>
      <w:r>
        <w:rPr>
          <w:rFonts w:cs="仿宋_GB2312"/>
          <w:sz w:val="32"/>
          <w:szCs w:val="32"/>
        </w:rPr>
        <w:t>1.</w:t>
      </w:r>
      <w:r>
        <w:rPr>
          <w:rFonts w:cs="仿宋_GB2312" w:hint="eastAsia"/>
          <w:sz w:val="32"/>
          <w:szCs w:val="32"/>
        </w:rPr>
        <w:t>财政拨款收入：指单位从同级财政部门取得的财政预算资金。</w:t>
      </w:r>
    </w:p>
    <w:p>
      <w:pPr>
        <w:pStyle w:val="28"/>
        <w:spacing w:line="640" w:lineRule="exact"/>
        <w:ind w:firstLineChars="200" w:firstLine="640"/>
        <w:rPr>
          <w:rFonts w:cs="仿宋_GB2312"/>
          <w:sz w:val="32"/>
          <w:szCs w:val="32"/>
        </w:rPr>
      </w:pPr>
      <w:r>
        <w:rPr>
          <w:rFonts w:cs="仿宋_GB2312" w:hint="eastAsia"/>
          <w:sz w:val="32"/>
          <w:szCs w:val="32"/>
        </w:rPr>
        <w:t>2</w:t>
      </w:r>
      <w:r>
        <w:rPr>
          <w:rFonts w:cs="仿宋_GB2312"/>
          <w:sz w:val="32"/>
          <w:szCs w:val="32"/>
        </w:rPr>
        <w:t>.</w:t>
      </w:r>
      <w:r>
        <w:rPr>
          <w:rFonts w:cs="仿宋_GB2312" w:hint="eastAsia"/>
          <w:sz w:val="32"/>
          <w:szCs w:val="32"/>
        </w:rPr>
        <w:t>其他收入：指单位取得的除上述收入以外的各项收入。主要是利息收入、上级下达环保专项资金收入等。</w:t>
      </w:r>
      <w:r>
        <w:rPr>
          <w:rFonts w:cs="仿宋_GB2312"/>
          <w:sz w:val="32"/>
          <w:szCs w:val="32"/>
        </w:rPr>
        <w:t xml:space="preserve"> </w:t>
      </w:r>
    </w:p>
    <w:p>
      <w:pPr>
        <w:pStyle w:val="28"/>
        <w:spacing w:line="640" w:lineRule="exact"/>
        <w:ind w:firstLineChars="200" w:firstLine="640"/>
        <w:rPr>
          <w:rFonts w:cs="仿宋_GB2312"/>
          <w:sz w:val="32"/>
          <w:szCs w:val="32"/>
        </w:rPr>
      </w:pPr>
      <w:r>
        <w:rPr>
          <w:rFonts w:cs="仿宋_GB2312" w:hint="eastAsia"/>
          <w:sz w:val="32"/>
          <w:szCs w:val="32"/>
        </w:rPr>
        <w:t>3</w:t>
      </w:r>
      <w:r>
        <w:rPr>
          <w:rFonts w:cs="仿宋_GB2312"/>
          <w:sz w:val="32"/>
          <w:szCs w:val="32"/>
        </w:rPr>
        <w:t>.</w:t>
      </w:r>
      <w:r>
        <w:rPr>
          <w:rFonts w:cs="仿宋_GB2312" w:hint="eastAsia"/>
          <w:sz w:val="32"/>
          <w:szCs w:val="32"/>
        </w:rPr>
        <w:t>年初结转和结余：指以前年度尚未完成、结转到本年按有关规定继续使用的资金。</w:t>
      </w:r>
      <w:r>
        <w:rPr>
          <w:rFonts w:cs="仿宋_GB2312"/>
          <w:sz w:val="32"/>
          <w:szCs w:val="32"/>
        </w:rPr>
        <w:t xml:space="preserve"> </w:t>
      </w:r>
    </w:p>
    <w:p>
      <w:pPr>
        <w:pStyle w:val="28"/>
        <w:spacing w:line="640" w:lineRule="exact"/>
        <w:ind w:firstLineChars="200" w:firstLine="640"/>
        <w:rPr>
          <w:rFonts w:cs="Times New Roman"/>
          <w:sz w:val="32"/>
          <w:szCs w:val="32"/>
        </w:rPr>
      </w:pPr>
      <w:r>
        <w:rPr>
          <w:rFonts w:cs="仿宋_GB2312" w:hint="eastAsia"/>
          <w:sz w:val="32"/>
          <w:szCs w:val="32"/>
        </w:rPr>
        <w:t>4</w:t>
      </w:r>
      <w:r>
        <w:rPr>
          <w:rFonts w:cs="仿宋_GB2312"/>
          <w:sz w:val="32"/>
          <w:szCs w:val="32"/>
        </w:rPr>
        <w:t>.</w:t>
      </w:r>
      <w:r>
        <w:rPr>
          <w:rFonts w:cs="仿宋_GB2312" w:hint="eastAsia"/>
          <w:sz w:val="32"/>
          <w:szCs w:val="32"/>
        </w:rPr>
        <w:t>年末结转和结余：指单位按有关规定结转到下年或以后年度继续使用的资金。</w:t>
      </w:r>
    </w:p>
    <w:p>
      <w:pPr>
        <w:pStyle w:val="28"/>
        <w:spacing w:line="640" w:lineRule="exact"/>
        <w:ind w:firstLineChars="200" w:firstLine="640"/>
        <w:rPr>
          <w:rFonts w:cs="Times New Roman"/>
          <w:sz w:val="32"/>
          <w:szCs w:val="32"/>
        </w:rPr>
      </w:pPr>
      <w:r>
        <w:rPr>
          <w:rFonts w:cs="仿宋_GB2312" w:hint="eastAsia"/>
          <w:sz w:val="32"/>
          <w:szCs w:val="32"/>
        </w:rPr>
        <w:t>5</w:t>
      </w:r>
      <w:r>
        <w:rPr>
          <w:rFonts w:cs="仿宋_GB2312"/>
          <w:sz w:val="32"/>
          <w:szCs w:val="32"/>
        </w:rPr>
        <w:t>.</w:t>
      </w:r>
      <w:r>
        <w:rPr>
          <w:rFonts w:cs="仿宋_GB2312" w:hint="eastAsia"/>
          <w:sz w:val="32"/>
          <w:szCs w:val="32"/>
        </w:rPr>
        <w:t>一般公共服务（类）人力资源事务（款）其他人力资源事务支出（项）：指其他用于人力资源事务方面的支出。</w:t>
      </w:r>
    </w:p>
    <w:p>
      <w:pPr>
        <w:pStyle w:val="28"/>
        <w:spacing w:line="640" w:lineRule="exact"/>
        <w:ind w:firstLineChars="200" w:firstLine="640"/>
        <w:rPr>
          <w:rFonts w:cs="Times New Roman"/>
          <w:sz w:val="32"/>
          <w:szCs w:val="32"/>
        </w:rPr>
      </w:pPr>
      <w:r>
        <w:rPr>
          <w:rFonts w:cs="仿宋_GB2312" w:hint="eastAsia"/>
          <w:sz w:val="32"/>
          <w:szCs w:val="32"/>
        </w:rPr>
        <w:t>6</w:t>
      </w:r>
      <w:r>
        <w:rPr>
          <w:rFonts w:cs="仿宋_GB2312"/>
          <w:sz w:val="32"/>
          <w:szCs w:val="32"/>
        </w:rPr>
        <w:t xml:space="preserve">. </w:t>
      </w:r>
      <w:r>
        <w:rPr>
          <w:rFonts w:cs="仿宋_GB2312" w:hint="eastAsia"/>
          <w:sz w:val="32"/>
          <w:szCs w:val="32"/>
        </w:rPr>
        <w:t>一般公共服务（类）组织事务（款）其他组织事务支出（项）：指其他用于中国共产党组织部门的事务支出。</w:t>
      </w:r>
    </w:p>
    <w:p>
      <w:pPr>
        <w:pStyle w:val="28"/>
        <w:spacing w:line="640" w:lineRule="exact"/>
        <w:ind w:firstLineChars="200" w:firstLine="640"/>
        <w:rPr>
          <w:rFonts w:cs="Times New Roman"/>
          <w:sz w:val="32"/>
          <w:szCs w:val="32"/>
        </w:rPr>
      </w:pPr>
      <w:r>
        <w:rPr>
          <w:rFonts w:cs="仿宋_GB2312" w:hint="eastAsia"/>
          <w:sz w:val="32"/>
          <w:szCs w:val="32"/>
        </w:rPr>
        <w:t>7</w:t>
      </w:r>
      <w:r>
        <w:rPr>
          <w:rFonts w:cs="仿宋_GB2312"/>
          <w:sz w:val="32"/>
          <w:szCs w:val="32"/>
        </w:rPr>
        <w:t>.</w:t>
      </w:r>
      <w:r>
        <w:rPr>
          <w:rFonts w:cs="仿宋_GB2312" w:hint="eastAsia"/>
          <w:sz w:val="32"/>
          <w:szCs w:val="32"/>
        </w:rPr>
        <w:t>社会保障和就业（类）行政事业单位离退休（款）未归口管理的行政单位离退休（项）：指未实行归口管理的行政单位（包括实行公务员管理的事业单位）开支的离退休支出。</w:t>
      </w:r>
    </w:p>
    <w:p>
      <w:pPr>
        <w:pStyle w:val="28"/>
        <w:spacing w:line="640" w:lineRule="exact"/>
        <w:ind w:firstLineChars="200" w:firstLine="640"/>
        <w:rPr>
          <w:rFonts w:cs="Times New Roman"/>
          <w:sz w:val="32"/>
          <w:szCs w:val="32"/>
        </w:rPr>
      </w:pPr>
      <w:r>
        <w:rPr>
          <w:rFonts w:cs="仿宋_GB2312" w:hint="eastAsia"/>
          <w:sz w:val="32"/>
          <w:szCs w:val="32"/>
        </w:rPr>
        <w:t>8</w:t>
      </w:r>
      <w:r>
        <w:rPr>
          <w:rFonts w:cs="仿宋_GB2312"/>
          <w:sz w:val="32"/>
          <w:szCs w:val="32"/>
        </w:rPr>
        <w:t>.</w:t>
      </w:r>
      <w:r>
        <w:rPr>
          <w:rFonts w:cs="仿宋_GB2312" w:hint="eastAsia"/>
          <w:sz w:val="32"/>
          <w:szCs w:val="32"/>
        </w:rPr>
        <w:t>社会保障和就业（类）行政事业单位离退休（款）机关事业单位基本养老保险缴费支出（项）：指机关事业单位实施养老保险制度由单位缴纳的基本养老保险费支出。</w:t>
      </w:r>
    </w:p>
    <w:p>
      <w:pPr>
        <w:pStyle w:val="28"/>
        <w:spacing w:line="640" w:lineRule="exact"/>
        <w:ind w:firstLineChars="200" w:firstLine="640"/>
        <w:rPr>
          <w:rFonts w:cs="Times New Roman"/>
          <w:sz w:val="32"/>
          <w:szCs w:val="32"/>
        </w:rPr>
      </w:pPr>
      <w:r>
        <w:rPr>
          <w:rFonts w:cs="仿宋_GB2312" w:hint="eastAsia"/>
          <w:sz w:val="32"/>
          <w:szCs w:val="32"/>
        </w:rPr>
        <w:t>9</w:t>
      </w:r>
      <w:r>
        <w:rPr>
          <w:rFonts w:cs="仿宋_GB2312"/>
          <w:sz w:val="32"/>
          <w:szCs w:val="32"/>
        </w:rPr>
        <w:t xml:space="preserve">. </w:t>
      </w:r>
      <w:r>
        <w:rPr>
          <w:rFonts w:cs="仿宋_GB2312" w:hint="eastAsia"/>
          <w:sz w:val="32"/>
          <w:szCs w:val="32"/>
        </w:rPr>
        <w:t>社会保障和就业（类）行政事业单位离退休（款）机关事业单位职业年金缴费支出（项）：指机关事业单位实施养老保险制度由单位实际缴纳的职业年金支出。</w:t>
      </w:r>
    </w:p>
    <w:p>
      <w:pPr>
        <w:pStyle w:val="28"/>
        <w:spacing w:line="640" w:lineRule="exact"/>
        <w:ind w:firstLineChars="200" w:firstLine="640"/>
        <w:rPr>
          <w:rFonts w:cs="Times New Roman"/>
          <w:sz w:val="32"/>
          <w:szCs w:val="32"/>
        </w:rPr>
      </w:pPr>
      <w:r>
        <w:rPr>
          <w:rFonts w:cs="仿宋_GB2312"/>
          <w:sz w:val="32"/>
          <w:szCs w:val="32"/>
        </w:rPr>
        <w:t>1</w:t>
      </w:r>
      <w:r>
        <w:rPr>
          <w:rFonts w:cs="仿宋_GB2312" w:hint="eastAsia"/>
          <w:sz w:val="32"/>
          <w:szCs w:val="32"/>
        </w:rPr>
        <w:t>0</w:t>
      </w:r>
      <w:r>
        <w:rPr>
          <w:rFonts w:cs="仿宋_GB2312"/>
          <w:sz w:val="32"/>
          <w:szCs w:val="32"/>
        </w:rPr>
        <w:t>.</w:t>
      </w:r>
      <w:r>
        <w:rPr>
          <w:rFonts w:cs="仿宋_GB2312" w:hint="eastAsia"/>
          <w:sz w:val="32"/>
          <w:szCs w:val="32"/>
        </w:rPr>
        <w:t>社会保障和就业（类）社会福利（款）儿童福利（项）：指对儿童提供福利服务方面的支出。</w:t>
      </w:r>
    </w:p>
    <w:p>
      <w:pPr>
        <w:pStyle w:val="28"/>
        <w:spacing w:line="640" w:lineRule="exact"/>
        <w:ind w:firstLineChars="200" w:firstLine="640"/>
        <w:rPr>
          <w:rFonts w:cs="Times New Roman"/>
          <w:sz w:val="32"/>
          <w:szCs w:val="32"/>
        </w:rPr>
      </w:pPr>
      <w:r>
        <w:rPr>
          <w:rFonts w:cs="仿宋_GB2312"/>
          <w:sz w:val="32"/>
          <w:szCs w:val="32"/>
        </w:rPr>
        <w:t>1</w:t>
      </w:r>
      <w:r>
        <w:rPr>
          <w:rFonts w:cs="仿宋_GB2312" w:hint="eastAsia"/>
          <w:sz w:val="32"/>
          <w:szCs w:val="32"/>
        </w:rPr>
        <w:t>1</w:t>
      </w:r>
      <w:r>
        <w:rPr>
          <w:rFonts w:cs="仿宋_GB2312"/>
          <w:sz w:val="32"/>
          <w:szCs w:val="32"/>
        </w:rPr>
        <w:t>.</w:t>
      </w:r>
      <w:r>
        <w:rPr>
          <w:rFonts w:cs="仿宋_GB2312" w:hint="eastAsia"/>
          <w:sz w:val="32"/>
          <w:szCs w:val="32"/>
        </w:rPr>
        <w:t>节能环保（类）环境保护管理事务（款）行政运行（项）：指行政单位（包括实行公务员管理的事业单位）的基本支出。</w:t>
      </w:r>
    </w:p>
    <w:p>
      <w:pPr>
        <w:pStyle w:val="28"/>
        <w:spacing w:line="640" w:lineRule="exact"/>
        <w:ind w:firstLineChars="200" w:firstLine="640"/>
        <w:rPr>
          <w:rFonts w:cs="Times New Roman"/>
          <w:sz w:val="32"/>
          <w:szCs w:val="32"/>
        </w:rPr>
      </w:pPr>
      <w:r>
        <w:rPr>
          <w:rFonts w:cs="仿宋_GB2312"/>
          <w:sz w:val="32"/>
          <w:szCs w:val="32"/>
        </w:rPr>
        <w:t>1</w:t>
      </w:r>
      <w:r>
        <w:rPr>
          <w:rFonts w:cs="仿宋_GB2312" w:hint="eastAsia"/>
          <w:sz w:val="32"/>
          <w:szCs w:val="32"/>
        </w:rPr>
        <w:t>2</w:t>
      </w:r>
      <w:r>
        <w:rPr>
          <w:rFonts w:cs="仿宋_GB2312"/>
          <w:sz w:val="32"/>
          <w:szCs w:val="32"/>
        </w:rPr>
        <w:t>.</w:t>
      </w:r>
      <w:r>
        <w:rPr>
          <w:rFonts w:cs="仿宋_GB2312" w:hint="eastAsia"/>
          <w:sz w:val="32"/>
          <w:szCs w:val="32"/>
        </w:rPr>
        <w:t>节能环保（类）环境保护管理事务（款）一般行政管理事务（项）：指行政单位（包括实行公务员管理的事业单位）未单独设置项级科目的其他项目支出。</w:t>
      </w:r>
    </w:p>
    <w:p>
      <w:pPr>
        <w:pStyle w:val="28"/>
        <w:spacing w:line="640" w:lineRule="exact"/>
        <w:ind w:firstLineChars="200" w:firstLine="640"/>
        <w:rPr>
          <w:rFonts w:cs="Times New Roman"/>
          <w:sz w:val="32"/>
          <w:szCs w:val="32"/>
        </w:rPr>
      </w:pPr>
      <w:r>
        <w:rPr>
          <w:rFonts w:cs="仿宋_GB2312"/>
          <w:sz w:val="32"/>
          <w:szCs w:val="32"/>
        </w:rPr>
        <w:t>1</w:t>
      </w:r>
      <w:r>
        <w:rPr>
          <w:rFonts w:cs="仿宋_GB2312" w:hint="eastAsia"/>
          <w:sz w:val="32"/>
          <w:szCs w:val="32"/>
        </w:rPr>
        <w:t>3</w:t>
      </w:r>
      <w:r>
        <w:rPr>
          <w:rFonts w:cs="仿宋_GB2312"/>
          <w:sz w:val="32"/>
          <w:szCs w:val="32"/>
        </w:rPr>
        <w:t xml:space="preserve">. </w:t>
      </w:r>
      <w:r>
        <w:rPr>
          <w:rFonts w:cs="仿宋_GB2312" w:hint="eastAsia"/>
          <w:sz w:val="32"/>
          <w:szCs w:val="32"/>
        </w:rPr>
        <w:t>节能环保（类）环境保护管理事务（款）其他环境保护管理事务支出（项）：指其他用于环境保护管理事务方面的支出。</w:t>
      </w:r>
    </w:p>
    <w:p>
      <w:pPr>
        <w:pStyle w:val="28"/>
        <w:spacing w:line="640" w:lineRule="exact"/>
        <w:ind w:firstLineChars="200" w:firstLine="640"/>
        <w:rPr>
          <w:rFonts w:cs="Times New Roman"/>
          <w:sz w:val="32"/>
          <w:szCs w:val="32"/>
        </w:rPr>
      </w:pPr>
      <w:r>
        <w:rPr>
          <w:rFonts w:cs="仿宋_GB2312"/>
          <w:sz w:val="32"/>
          <w:szCs w:val="32"/>
        </w:rPr>
        <w:t>1</w:t>
      </w:r>
      <w:r>
        <w:rPr>
          <w:rFonts w:cs="仿宋_GB2312" w:hint="eastAsia"/>
          <w:sz w:val="32"/>
          <w:szCs w:val="32"/>
        </w:rPr>
        <w:t>4</w:t>
      </w:r>
      <w:r>
        <w:rPr>
          <w:rFonts w:cs="仿宋_GB2312"/>
          <w:sz w:val="32"/>
          <w:szCs w:val="32"/>
        </w:rPr>
        <w:t>.</w:t>
      </w:r>
      <w:r>
        <w:rPr>
          <w:rFonts w:cs="仿宋_GB2312" w:hint="eastAsia"/>
          <w:sz w:val="32"/>
          <w:szCs w:val="32"/>
        </w:rPr>
        <w:t>节能环保（类）环境监测与监察（款）其他环境监测与监察支出（项）：指其他用于环境监测与监察方面的支出。</w:t>
      </w:r>
    </w:p>
    <w:p>
      <w:pPr>
        <w:pStyle w:val="28"/>
        <w:spacing w:line="640" w:lineRule="exact"/>
        <w:ind w:firstLineChars="200" w:firstLine="640"/>
        <w:rPr>
          <w:rFonts w:cs="Times New Roman"/>
          <w:sz w:val="32"/>
          <w:szCs w:val="32"/>
        </w:rPr>
      </w:pPr>
      <w:r>
        <w:rPr>
          <w:rFonts w:cs="仿宋_GB2312" w:hint="eastAsia"/>
          <w:sz w:val="32"/>
          <w:szCs w:val="32"/>
        </w:rPr>
        <w:t>15</w:t>
      </w:r>
      <w:r>
        <w:rPr>
          <w:rFonts w:cs="仿宋_GB2312"/>
          <w:sz w:val="32"/>
          <w:szCs w:val="32"/>
        </w:rPr>
        <w:t>.</w:t>
      </w:r>
      <w:r>
        <w:rPr>
          <w:rFonts w:cs="仿宋_GB2312" w:hint="eastAsia"/>
          <w:sz w:val="32"/>
          <w:szCs w:val="32"/>
        </w:rPr>
        <w:t>节能环保（类）污染防治（款）大气（项）：指政府在治理空气污染、汽车尾气、酸雨、二氧化硫、沙尘暴等方面的支出。</w:t>
      </w:r>
    </w:p>
    <w:p>
      <w:pPr>
        <w:pStyle w:val="28"/>
        <w:spacing w:line="640" w:lineRule="exact"/>
        <w:ind w:firstLineChars="200" w:firstLine="640"/>
        <w:rPr>
          <w:rFonts w:cs="Times New Roman"/>
          <w:sz w:val="32"/>
          <w:szCs w:val="32"/>
        </w:rPr>
      </w:pPr>
      <w:r>
        <w:rPr>
          <w:rFonts w:cs="仿宋_GB2312" w:hint="eastAsia"/>
          <w:sz w:val="32"/>
          <w:szCs w:val="32"/>
        </w:rPr>
        <w:t>16</w:t>
      </w:r>
      <w:r>
        <w:rPr>
          <w:rFonts w:cs="仿宋_GB2312"/>
          <w:sz w:val="32"/>
          <w:szCs w:val="32"/>
        </w:rPr>
        <w:t>.</w:t>
      </w:r>
      <w:r>
        <w:rPr>
          <w:rFonts w:cs="仿宋_GB2312" w:hint="eastAsia"/>
          <w:sz w:val="32"/>
          <w:szCs w:val="32"/>
        </w:rPr>
        <w:t>节能环保（类）污染防治（款）其他污染防治支出（项）：指其他用于污染防治方面的支出。</w:t>
      </w:r>
    </w:p>
    <w:p>
      <w:pPr>
        <w:pStyle w:val="28"/>
        <w:spacing w:line="640" w:lineRule="exact"/>
        <w:ind w:firstLineChars="200" w:firstLine="640"/>
        <w:rPr>
          <w:rFonts w:cs="Times New Roman"/>
          <w:sz w:val="32"/>
          <w:szCs w:val="32"/>
        </w:rPr>
      </w:pPr>
      <w:r>
        <w:rPr>
          <w:rFonts w:cs="仿宋_GB2312" w:hint="eastAsia"/>
          <w:sz w:val="32"/>
          <w:szCs w:val="32"/>
        </w:rPr>
        <w:t>17</w:t>
      </w:r>
      <w:r>
        <w:rPr>
          <w:rFonts w:cs="仿宋_GB2312"/>
          <w:sz w:val="32"/>
          <w:szCs w:val="32"/>
        </w:rPr>
        <w:t>.</w:t>
      </w:r>
      <w:r>
        <w:rPr>
          <w:rFonts w:cs="仿宋_GB2312" w:hint="eastAsia"/>
          <w:sz w:val="32"/>
          <w:szCs w:val="32"/>
        </w:rPr>
        <w:t>节能环保（类）污染减排（款）环境监测与信息（项）：指环保部门监测和信息方面的支出，包括环境质量监测、污染治理设施竣工验收监测、污染源监督性监测、污染事故应急监测和污染纠纷监测等支出，环境统计和调查、环境质量评价、绿色国民经济核算等支出，环境信息系统建设、维护、运行、信心发布及其技术支持等方面的支出。</w:t>
      </w:r>
    </w:p>
    <w:p>
      <w:pPr>
        <w:pStyle w:val="28"/>
        <w:spacing w:line="640" w:lineRule="exact"/>
        <w:ind w:firstLineChars="200" w:firstLine="640"/>
        <w:rPr>
          <w:rFonts w:cs="Times New Roman"/>
          <w:sz w:val="32"/>
          <w:szCs w:val="32"/>
        </w:rPr>
      </w:pPr>
      <w:r>
        <w:rPr>
          <w:rFonts w:cs="仿宋_GB2312" w:hint="eastAsia"/>
          <w:sz w:val="32"/>
          <w:szCs w:val="32"/>
        </w:rPr>
        <w:t>18</w:t>
      </w:r>
      <w:r>
        <w:rPr>
          <w:rFonts w:cs="仿宋_GB2312"/>
          <w:sz w:val="32"/>
          <w:szCs w:val="32"/>
        </w:rPr>
        <w:t>.</w:t>
      </w:r>
      <w:r>
        <w:rPr>
          <w:rFonts w:cs="仿宋_GB2312" w:hint="eastAsia"/>
          <w:sz w:val="32"/>
          <w:szCs w:val="32"/>
        </w:rPr>
        <w:t>节能环保（类）其他节能环保支出（款）其他节能环保支出（项）：指其他用于节能环保方面的支出。</w:t>
      </w:r>
    </w:p>
    <w:p>
      <w:pPr>
        <w:pStyle w:val="28"/>
        <w:spacing w:line="640" w:lineRule="exact"/>
        <w:ind w:firstLineChars="200" w:firstLine="640"/>
        <w:rPr>
          <w:rFonts w:cs="Times New Roman"/>
          <w:sz w:val="32"/>
          <w:szCs w:val="32"/>
        </w:rPr>
      </w:pPr>
      <w:r>
        <w:rPr>
          <w:rFonts w:cs="仿宋_GB2312" w:hint="eastAsia"/>
          <w:sz w:val="32"/>
          <w:szCs w:val="32"/>
        </w:rPr>
        <w:t>19</w:t>
      </w:r>
      <w:r>
        <w:rPr>
          <w:rFonts w:cs="仿宋_GB2312"/>
          <w:sz w:val="32"/>
          <w:szCs w:val="32"/>
        </w:rPr>
        <w:t>.</w:t>
      </w:r>
      <w:r>
        <w:rPr>
          <w:rFonts w:cs="仿宋_GB2312" w:hint="eastAsia"/>
          <w:sz w:val="32"/>
          <w:szCs w:val="32"/>
        </w:rPr>
        <w:t>住房保障支出（类）住房改革支出（款）住房公积金（项）：指行政事业单位按人力资源和社会保障部、财政部规定的基本工资和津补贴以及规定比例为职工缴纳的住房公积金。</w:t>
      </w:r>
    </w:p>
    <w:p>
      <w:pPr>
        <w:spacing w:line="640" w:lineRule="exact"/>
      </w:pPr>
      <w:r>
        <w:rPr>
          <w:rFonts w:cs="仿宋_GB2312" w:hint="eastAsia"/>
        </w:rPr>
        <w:t>20</w:t>
      </w:r>
      <w:r>
        <w:rPr>
          <w:rFonts w:cs="仿宋_GB2312"/>
        </w:rPr>
        <w:t>.</w:t>
      </w:r>
      <w:r>
        <w:rPr>
          <w:rFonts w:cs="仿宋_GB2312" w:hint="eastAsia"/>
        </w:rPr>
        <w:t>基本支出：指为保障机构正常运转、完成日常工作任务而发生的人员支出和公用支出。</w:t>
      </w:r>
    </w:p>
    <w:p>
      <w:pPr>
        <w:spacing w:line="640" w:lineRule="exact"/>
      </w:pPr>
      <w:r>
        <w:rPr>
          <w:rFonts w:cs="仿宋_GB2312"/>
        </w:rPr>
        <w:t>2</w:t>
      </w:r>
      <w:r>
        <w:rPr>
          <w:rFonts w:cs="仿宋_GB2312" w:hint="eastAsia"/>
        </w:rPr>
        <w:t>1</w:t>
      </w:r>
      <w:r>
        <w:rPr>
          <w:rFonts w:cs="仿宋_GB2312"/>
        </w:rPr>
        <w:t>.</w:t>
      </w:r>
      <w:r>
        <w:rPr>
          <w:rFonts w:cs="仿宋_GB2312" w:hint="eastAsia"/>
        </w:rPr>
        <w:t>项目支出：指在基本支出之外为完成特定行政任务和事业发展目标所发生的支出。</w:t>
      </w:r>
    </w:p>
    <w:p>
      <w:pPr>
        <w:spacing w:line="640" w:lineRule="exact"/>
      </w:pPr>
      <w:r>
        <w:rPr>
          <w:rFonts w:cs="仿宋_GB2312"/>
        </w:rPr>
        <w:t>2</w:t>
      </w:r>
      <w:r>
        <w:rPr>
          <w:rFonts w:cs="仿宋_GB2312" w:hint="eastAsia"/>
        </w:rPr>
        <w:t>2</w:t>
      </w:r>
      <w:r>
        <w:rPr>
          <w:rFonts w:cs="仿宋_GB2312"/>
        </w:rPr>
        <w:t>.</w:t>
      </w:r>
      <w:r>
        <w:rPr>
          <w:rFonts w:cs="仿宋_GB2312" w:hint="eastAsia"/>
        </w:rPr>
        <w:t>经营支出：指事业单位在专业业务活动及其辅助活动之外开展非独立核算经营活动发生的支出。</w:t>
      </w:r>
    </w:p>
    <w:p>
      <w:pPr>
        <w:pStyle w:val="28"/>
        <w:spacing w:line="640" w:lineRule="exact"/>
        <w:ind w:firstLineChars="200" w:firstLine="640"/>
        <w:rPr>
          <w:rFonts w:cs="Times New Roman"/>
          <w:sz w:val="32"/>
          <w:szCs w:val="32"/>
        </w:rPr>
      </w:pPr>
      <w:r>
        <w:rPr>
          <w:rFonts w:cs="仿宋_GB2312"/>
          <w:sz w:val="32"/>
          <w:szCs w:val="32"/>
        </w:rPr>
        <w:t>2</w:t>
      </w:r>
      <w:r>
        <w:rPr>
          <w:rFonts w:cs="仿宋_GB2312" w:hint="eastAsia"/>
          <w:sz w:val="32"/>
          <w:szCs w:val="32"/>
        </w:rPr>
        <w:t>3</w:t>
      </w:r>
      <w:r>
        <w:rPr>
          <w:rFonts w:cs="仿宋_GB2312"/>
          <w:sz w:val="32"/>
          <w:szCs w:val="32"/>
        </w:rPr>
        <w:t>.</w:t>
      </w:r>
      <w:r>
        <w:rPr>
          <w:rFonts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640" w:lineRule="exact"/>
        <w:ind w:firstLineChars="200" w:firstLine="640"/>
        <w:rPr>
          <w:rFonts w:cs="Times New Roman"/>
          <w:sz w:val="32"/>
          <w:szCs w:val="32"/>
        </w:rPr>
      </w:pPr>
      <w:r>
        <w:rPr>
          <w:rFonts w:cs="仿宋_GB2312"/>
          <w:sz w:val="32"/>
          <w:szCs w:val="32"/>
        </w:rPr>
        <w:t>2</w:t>
      </w:r>
      <w:r>
        <w:rPr>
          <w:rFonts w:cs="仿宋_GB2312" w:hint="eastAsia"/>
          <w:sz w:val="32"/>
          <w:szCs w:val="32"/>
        </w:rPr>
        <w:t>4</w:t>
      </w:r>
      <w:r>
        <w:rPr>
          <w:rFonts w:cs="仿宋_GB2312"/>
          <w:sz w:val="32"/>
          <w:szCs w:val="32"/>
        </w:rPr>
        <w:t>.</w:t>
      </w:r>
      <w:r>
        <w:rPr>
          <w:rFonts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40" w:lineRule="exact"/>
        <w:rPr>
          <w:rStyle w:val="1Char"/>
          <w:rFonts w:ascii="黑体" w:eastAsia="黑体"/>
          <w:b w:val="0"/>
        </w:rPr>
      </w:pPr>
      <w:r>
        <w:rPr>
          <w:b/>
        </w:rPr>
        <w:br w:type="page"/>
      </w:r>
      <w:bookmarkStart w:id="63" w:name="_Toc15396614"/>
      <w:r>
        <w:rPr>
          <w:rStyle w:val="1Char"/>
          <w:rFonts w:ascii="黑体" w:eastAsia="黑体" w:hint="eastAsia"/>
          <w:b w:val="0"/>
        </w:rPr>
        <w:t>第四部分 附件</w:t>
      </w:r>
      <w:bookmarkEnd w:id="63"/>
    </w:p>
    <w:p>
      <w:pPr>
        <w:rPr>
          <w:rFonts w:ascii="方正小标宋简体" w:eastAsia="方正小标宋简体" w:cs="方正小标宋简体"/>
        </w:rPr>
      </w:pPr>
      <w:r>
        <w:rPr>
          <w:rFonts w:hint="eastAsia"/>
        </w:rPr>
        <w:t>附件1</w:t>
      </w:r>
    </w:p>
    <w:p/>
    <w:p>
      <w:pPr>
        <w:jc w:val="center"/>
        <w:rPr>
          <w:kern w:val="0"/>
          <w:lang w:val="zh-CN"/>
        </w:rPr>
      </w:pPr>
      <w:r>
        <w:rPr>
          <w:rFonts w:hint="eastAsia"/>
          <w:kern w:val="0"/>
        </w:rPr>
        <w:t>攀枝花市生态环境局</w:t>
      </w:r>
      <w:r>
        <w:rPr>
          <w:rFonts w:hint="eastAsia"/>
          <w:kern w:val="0"/>
          <w:lang w:val="zh-CN"/>
        </w:rPr>
        <w:t>部门</w:t>
      </w:r>
      <w:r>
        <w:rPr>
          <w:kern w:val="0"/>
        </w:rPr>
        <w:t>2019年部门</w:t>
      </w:r>
      <w:r>
        <w:rPr>
          <w:rFonts w:hint="eastAsia"/>
          <w:kern w:val="0"/>
          <w:lang w:val="zh-CN"/>
        </w:rPr>
        <w:t>整体支出绩效评价报告</w:t>
      </w:r>
    </w:p>
    <w:p>
      <w:pPr>
        <w:rPr>
          <w:kern w:val="0"/>
          <w:shd w:val="clear" w:color="auto" w:fill="FFFFFF"/>
        </w:rPr>
      </w:pPr>
    </w:p>
    <w:p>
      <w:pPr>
        <w:spacing w:line="640" w:lineRule="exact"/>
        <w:rPr>
          <w:kern w:val="0"/>
          <w:shd w:val="clear" w:color="auto" w:fill="FFFFFF"/>
          <w:lang w:val="zh-CN"/>
        </w:rPr>
      </w:pPr>
      <w:r>
        <w:rPr>
          <w:rFonts w:hint="eastAsia"/>
          <w:kern w:val="0"/>
          <w:shd w:val="clear" w:color="auto" w:fill="FFFFFF"/>
        </w:rPr>
        <w:t>一、</w:t>
      </w:r>
      <w:r>
        <w:rPr>
          <w:rFonts w:hint="eastAsia"/>
          <w:kern w:val="0"/>
          <w:shd w:val="clear" w:color="auto" w:fill="FFFFFF"/>
          <w:lang w:val="zh-CN"/>
        </w:rPr>
        <w:t>部门（单位）概况</w:t>
      </w:r>
    </w:p>
    <w:p>
      <w:pPr>
        <w:spacing w:line="640" w:lineRule="exact"/>
        <w:rPr>
          <w:kern w:val="0"/>
          <w:shd w:val="clear" w:color="auto" w:fill="FFFFFF"/>
          <w:lang w:val="zh-CN"/>
        </w:rPr>
      </w:pPr>
      <w:r>
        <w:rPr>
          <w:rFonts w:hint="eastAsia"/>
          <w:kern w:val="0"/>
          <w:shd w:val="clear" w:color="auto" w:fill="FFFFFF"/>
          <w:lang w:val="zh-CN"/>
        </w:rPr>
        <w:t>（一）机构组成。</w:t>
      </w:r>
    </w:p>
    <w:p>
      <w:pPr>
        <w:spacing w:line="640" w:lineRule="exact"/>
        <w:rPr>
          <w:kern w:val="0"/>
          <w:shd w:val="clear" w:color="auto" w:fill="FFFFFF"/>
          <w:lang w:val="zh-CN"/>
        </w:rPr>
      </w:pPr>
      <w:r>
        <w:rPr>
          <w:kern w:val="0"/>
          <w:shd w:val="clear" w:color="auto" w:fill="FFFFFF"/>
          <w:lang w:val="zh-CN"/>
        </w:rPr>
        <w:t>我部门含：行政单位1个，未独立核算参公事业单位1个、公益一类事业单位1个和独立核算公益一类事业单位1个。</w:t>
      </w:r>
    </w:p>
    <w:p>
      <w:pPr>
        <w:spacing w:line="640" w:lineRule="exact"/>
        <w:rPr>
          <w:kern w:val="0"/>
          <w:shd w:val="clear" w:color="auto" w:fill="FFFFFF"/>
          <w:lang w:val="zh-CN"/>
        </w:rPr>
      </w:pPr>
      <w:r>
        <w:rPr>
          <w:rFonts w:hint="eastAsia"/>
          <w:kern w:val="0"/>
          <w:shd w:val="clear" w:color="auto" w:fill="FFFFFF"/>
          <w:lang w:val="zh-CN"/>
        </w:rPr>
        <w:t>（二）机构职能。</w:t>
      </w:r>
    </w:p>
    <w:p>
      <w:pPr>
        <w:spacing w:line="640" w:lineRule="exact"/>
        <w:ind w:firstLineChars="0" w:firstLine="0"/>
        <w:rPr>
          <w:kern w:val="0"/>
          <w:shd w:val="clear" w:color="auto" w:fill="FFFFFF"/>
          <w:lang w:val="zh-CN"/>
        </w:rPr>
      </w:pPr>
      <w:r>
        <w:rPr>
          <w:rFonts w:hint="eastAsia"/>
          <w:kern w:val="0"/>
          <w:shd w:val="clear" w:color="auto" w:fill="FFFFFF"/>
          <w:lang w:val="zh-CN"/>
        </w:rPr>
        <w:t xml:space="preserve">    1.</w:t>
      </w:r>
      <w:r>
        <w:rPr>
          <w:kern w:val="0"/>
          <w:shd w:val="clear" w:color="auto" w:fill="FFFFFF"/>
          <w:lang w:val="zh-CN"/>
        </w:rPr>
        <w:t>负责建立健全全市生态环境基本制度。会同有关部门拟订并组织实施全市生态环境政策、规划，起草生态环境保护的地方性法规、规章草案，并依法组织实施和监督检查。组织编制环境功能区划，会同有关部门编制并监督实施重点区域、</w:t>
      </w:r>
      <w:r>
        <w:rPr>
          <w:rFonts w:hint="eastAsia"/>
          <w:kern w:val="0"/>
          <w:shd w:val="clear" w:color="auto" w:fill="FFFFFF"/>
          <w:lang w:val="zh-CN"/>
        </w:rPr>
        <w:t>流域、应用水水源地生态环境规划和水功能区划，组织拟订生态</w:t>
      </w:r>
      <w:r>
        <w:rPr>
          <w:kern w:val="0"/>
          <w:shd w:val="clear" w:color="auto" w:fill="FFFFFF"/>
          <w:lang w:val="zh-CN"/>
        </w:rPr>
        <w:t>环境地方标准、技术规范。参与制定与全市生态环境相关的经济、技术、资源配置和产业政策。参与拟订全市主体功能区划。</w:t>
      </w:r>
    </w:p>
    <w:p>
      <w:pPr>
        <w:spacing w:line="640" w:lineRule="exact"/>
        <w:rPr>
          <w:kern w:val="0"/>
          <w:shd w:val="clear" w:color="auto" w:fill="FFFFFF"/>
          <w:lang w:val="zh-CN"/>
        </w:rPr>
      </w:pPr>
      <w:r>
        <w:rPr>
          <w:rFonts w:hint="eastAsia"/>
          <w:kern w:val="0"/>
          <w:shd w:val="clear" w:color="auto" w:fill="FFFFFF"/>
          <w:lang w:val="zh-CN"/>
        </w:rPr>
        <w:t>2.</w:t>
      </w:r>
      <w:r>
        <w:rPr>
          <w:kern w:val="0"/>
          <w:shd w:val="clear" w:color="auto" w:fill="FFFFFF"/>
          <w:lang w:val="zh-CN"/>
        </w:rPr>
        <w:t>负责全市重大生态环境问题的统筹协调和监督管理。牵头协调全市重特大突发生态环境事件和生态破坏事件的调查处理，指导协调各县（区）对重特大突发生态环境事件的应急、预警工作，牵头指导实施生态环境损害赔偿制度，协调解决有关跨区域环境污染纠纷，统筹协调全市重点区域、流域的生态环境保护工作。</w:t>
      </w:r>
    </w:p>
    <w:p>
      <w:pPr>
        <w:spacing w:line="640" w:lineRule="exact"/>
        <w:rPr>
          <w:kern w:val="0"/>
          <w:shd w:val="clear" w:color="auto" w:fill="FFFFFF"/>
          <w:lang w:val="zh-CN"/>
        </w:rPr>
      </w:pPr>
      <w:r>
        <w:rPr>
          <w:rFonts w:hint="eastAsia"/>
          <w:kern w:val="0"/>
          <w:shd w:val="clear" w:color="auto" w:fill="FFFFFF"/>
          <w:lang w:val="zh-CN"/>
        </w:rPr>
        <w:t>3.</w:t>
      </w:r>
      <w:r>
        <w:rPr>
          <w:kern w:val="0"/>
          <w:shd w:val="clear" w:color="auto" w:fill="FFFFFF"/>
          <w:lang w:val="zh-CN"/>
        </w:rPr>
        <w:t>负责监督管理全市减排目标的落实。组织制定并监督实施全市各类污染物排放总量控制和排污许可证制度，确定大气、水等环境纳污能力，提出实施总量控制的污染物名称和控制指标，监督检查各县（区）、园区、企业污染物减排任务完成情况，实施生态环境目标责任制。</w:t>
      </w:r>
    </w:p>
    <w:p>
      <w:pPr>
        <w:spacing w:line="640" w:lineRule="exact"/>
        <w:rPr>
          <w:kern w:val="0"/>
          <w:shd w:val="clear" w:color="auto" w:fill="FFFFFF"/>
          <w:lang w:val="zh-CN"/>
        </w:rPr>
      </w:pPr>
      <w:r>
        <w:rPr>
          <w:rFonts w:hint="eastAsia"/>
          <w:kern w:val="0"/>
          <w:shd w:val="clear" w:color="auto" w:fill="FFFFFF"/>
          <w:lang w:val="zh-CN"/>
        </w:rPr>
        <w:t>4.</w:t>
      </w:r>
      <w:r>
        <w:rPr>
          <w:kern w:val="0"/>
          <w:shd w:val="clear" w:color="auto" w:fill="FFFFFF"/>
          <w:lang w:val="zh-CN"/>
        </w:rPr>
        <w:t>负责提出全市生态环境领域固定资产投资规模和方向、市级财政性资金安排的意见，按市政府规定权限审批、核准全市规划内和年度计划规模内固定资产投资项目，配合有关部门做好组织实施和监督工作。参与指导推动全市循环经济和生态环保产业发展。</w:t>
      </w:r>
    </w:p>
    <w:p>
      <w:pPr>
        <w:spacing w:line="640" w:lineRule="exact"/>
        <w:rPr>
          <w:kern w:val="0"/>
          <w:shd w:val="clear" w:color="auto" w:fill="FFFFFF"/>
          <w:lang w:val="zh-CN"/>
        </w:rPr>
      </w:pPr>
      <w:r>
        <w:rPr>
          <w:rFonts w:hint="eastAsia"/>
          <w:kern w:val="0"/>
          <w:shd w:val="clear" w:color="auto" w:fill="FFFFFF"/>
          <w:lang w:val="zh-CN"/>
        </w:rPr>
        <w:t>5.</w:t>
      </w:r>
      <w:r>
        <w:rPr>
          <w:kern w:val="0"/>
          <w:shd w:val="clear" w:color="auto" w:fill="FFFFFF"/>
          <w:lang w:val="zh-CN"/>
        </w:rPr>
        <w:t>负责全市环境污染防治的监督管理。组织制定并监督实施全市大气、水、土壤、噪声、光、恶臭、固体废物、化学品、机动车等的污染防治管理制度。会同有关部门监督管理饮用水水源地生态环境保护工作，组织指导城乡生态环境综合整治工作，监督指导农业面源污染治理工作。监督指导区域大气环境保护工作，牵头建立区域大气污染联防联控协作机制并监督实施。按职责分工组织开展全市强制性清洁生产审核工作。</w:t>
      </w:r>
    </w:p>
    <w:p>
      <w:pPr>
        <w:spacing w:line="640" w:lineRule="exact"/>
        <w:rPr>
          <w:kern w:val="0"/>
          <w:shd w:val="clear" w:color="auto" w:fill="FFFFFF"/>
          <w:lang w:val="zh-CN"/>
        </w:rPr>
      </w:pPr>
      <w:r>
        <w:rPr>
          <w:rFonts w:hint="eastAsia"/>
          <w:kern w:val="0"/>
          <w:shd w:val="clear" w:color="auto" w:fill="FFFFFF"/>
          <w:lang w:val="zh-CN"/>
        </w:rPr>
        <w:t>6.</w:t>
      </w:r>
      <w:r>
        <w:rPr>
          <w:kern w:val="0"/>
          <w:shd w:val="clear" w:color="auto" w:fill="FFFFFF"/>
          <w:lang w:val="zh-CN"/>
        </w:rPr>
        <w:t>指导协调和监督全市生态保护修复工作。组织编制和监督实施生态保护规划，监督对生态环境有影响的自然资源开发利用活动、重要生态环境建设和生态破坏恢复工作。组织、指导生态示范创建工作。组织制定全市各类自然保护地生态环境监管制度并监督执法，承担自然保护地、生态保护红线相关监管工作。监督野生动植物保护、湿地生态环境保护、荒漠化防治等工作。指导协调和监督全市农村生态环境保护，监督生物技术环境安全，牵头生物物种（含遗传资源）工作，组织协调生物多样性保护工作，参与生态保护补偿工作。</w:t>
      </w:r>
    </w:p>
    <w:p>
      <w:pPr>
        <w:spacing w:line="640" w:lineRule="exact"/>
        <w:rPr>
          <w:kern w:val="0"/>
          <w:shd w:val="clear" w:color="auto" w:fill="FFFFFF"/>
          <w:lang w:val="zh-CN"/>
        </w:rPr>
      </w:pPr>
      <w:r>
        <w:rPr>
          <w:rFonts w:hint="eastAsia"/>
          <w:kern w:val="0"/>
          <w:shd w:val="clear" w:color="auto" w:fill="FFFFFF"/>
          <w:lang w:val="zh-CN"/>
        </w:rPr>
        <w:t>7.</w:t>
      </w:r>
      <w:r>
        <w:rPr>
          <w:kern w:val="0"/>
          <w:shd w:val="clear" w:color="auto" w:fill="FFFFFF"/>
          <w:lang w:val="zh-CN"/>
        </w:rPr>
        <w:t>负责全市核与辐射安全的监督管理。贯彻执行国家、省核与辐射安全法律、法规、规章、政策、规划和技术标准。负责辐射环境事故应急处理工作，参与核事故应急处理。监督管理放射源与射线装置安全，监督管理全市核技术应用、电磁辐射、伴有放射性矿产资源开发利用中的污染防治。负责核与辐射建设项目“三同时”（同时设计、同时施工、同时投产使用）管理工作，参与核设施安全、核设施污染防治监督管理相关工作，参与对核材料的管制和民用核安全设备的设计、制造、安装和无损检验活动的监督管理。负责核与辐射环境监测和执法工作。参与反生化、核与辐射恐怖事件的防范和处理。</w:t>
      </w:r>
    </w:p>
    <w:p>
      <w:pPr>
        <w:spacing w:line="640" w:lineRule="exact"/>
        <w:rPr>
          <w:kern w:val="0"/>
          <w:shd w:val="clear" w:color="auto" w:fill="FFFFFF"/>
          <w:lang w:val="zh-CN"/>
        </w:rPr>
      </w:pPr>
      <w:r>
        <w:rPr>
          <w:rFonts w:hint="eastAsia"/>
          <w:kern w:val="0"/>
          <w:shd w:val="clear" w:color="auto" w:fill="FFFFFF"/>
          <w:lang w:val="zh-CN"/>
        </w:rPr>
        <w:t>8.</w:t>
      </w:r>
      <w:r>
        <w:rPr>
          <w:kern w:val="0"/>
          <w:shd w:val="clear" w:color="auto" w:fill="FFFFFF"/>
          <w:lang w:val="zh-CN"/>
        </w:rPr>
        <w:t>负责全市生态环境准入的监督管理。受市政府委托对重大经济和技术政策、发展规划以及重大经济开发计划进行环境影响评价。按规定审批或审查重大开发建设区域、规划、项目环境影响评价文件。拟订并组织实施全市生态环境准入清单。</w:t>
      </w:r>
    </w:p>
    <w:p>
      <w:pPr>
        <w:spacing w:line="640" w:lineRule="exact"/>
        <w:rPr>
          <w:kern w:val="0"/>
          <w:shd w:val="clear" w:color="auto" w:fill="FFFFFF"/>
          <w:lang w:val="zh-CN"/>
        </w:rPr>
      </w:pPr>
      <w:r>
        <w:rPr>
          <w:rFonts w:hint="eastAsia"/>
          <w:kern w:val="0"/>
          <w:shd w:val="clear" w:color="auto" w:fill="FFFFFF"/>
          <w:lang w:val="zh-CN"/>
        </w:rPr>
        <w:t>9.</w:t>
      </w:r>
      <w:r>
        <w:rPr>
          <w:kern w:val="0"/>
          <w:shd w:val="clear" w:color="auto" w:fill="FFFFFF"/>
          <w:lang w:val="zh-CN"/>
        </w:rPr>
        <w:t>负责全市生态环境监测、统计和信息发布工作。监督执行国家、省颁布的各类环境标准，负责全市环境监测制度和规范相关工作。会同有关部门统一规划全市生态环境质量监测站点设置，组织实施生态环境质量监测、污染源监督性监测、温室气体减排监测、应急监测。组织对全市生态环境质量状况进行调查评价、预警预测，组织建设和管理全市生态环境监测网和生态环境信息网。负责全市生态环境质量考核和生态环境统计工作。建立和实行生态环境质量公告制度，统一发布全市生态环境综合性报告和重大环境信息。</w:t>
      </w:r>
    </w:p>
    <w:p>
      <w:pPr>
        <w:spacing w:line="640" w:lineRule="exact"/>
        <w:rPr>
          <w:kern w:val="0"/>
          <w:shd w:val="clear" w:color="auto" w:fill="FFFFFF"/>
          <w:lang w:val="zh-CN"/>
        </w:rPr>
      </w:pPr>
      <w:r>
        <w:rPr>
          <w:rFonts w:hint="eastAsia"/>
          <w:kern w:val="0"/>
          <w:shd w:val="clear" w:color="auto" w:fill="FFFFFF"/>
          <w:lang w:val="zh-CN"/>
        </w:rPr>
        <w:t>10.</w:t>
      </w:r>
      <w:r>
        <w:rPr>
          <w:kern w:val="0"/>
          <w:shd w:val="clear" w:color="auto" w:fill="FFFFFF"/>
          <w:lang w:val="zh-CN"/>
        </w:rPr>
        <w:t>负责应对气候变化工作。组织实施国家、省应对气候变化及温室气体减排重大战略、规划和政策，组织拟订全市应对气候变化的规划和政策措施。</w:t>
      </w:r>
    </w:p>
    <w:p>
      <w:pPr>
        <w:spacing w:line="640" w:lineRule="exact"/>
        <w:rPr>
          <w:kern w:val="0"/>
          <w:shd w:val="clear" w:color="auto" w:fill="FFFFFF"/>
          <w:lang w:val="zh-CN"/>
        </w:rPr>
      </w:pPr>
      <w:r>
        <w:rPr>
          <w:rFonts w:hint="eastAsia"/>
          <w:kern w:val="0"/>
          <w:shd w:val="clear" w:color="auto" w:fill="FFFFFF"/>
          <w:lang w:val="zh-CN"/>
        </w:rPr>
        <w:t>11.</w:t>
      </w:r>
      <w:r>
        <w:rPr>
          <w:kern w:val="0"/>
          <w:shd w:val="clear" w:color="auto" w:fill="FFFFFF"/>
          <w:lang w:val="zh-CN"/>
        </w:rPr>
        <w:t>组织开展市级生态环境保护督察和监察。拟订市级生态环境保护督察和监察制度，组织协调市级生态环境保护督察和监察工作，根据授权对各县（区）、各有关部门贯彻落实中央、省、市生态环境保护决策部署情况进行督察和监察。</w:t>
      </w:r>
    </w:p>
    <w:p>
      <w:pPr>
        <w:spacing w:line="640" w:lineRule="exact"/>
        <w:rPr>
          <w:kern w:val="0"/>
          <w:shd w:val="clear" w:color="auto" w:fill="FFFFFF"/>
          <w:lang w:val="zh-CN"/>
        </w:rPr>
      </w:pPr>
      <w:r>
        <w:rPr>
          <w:rFonts w:hint="eastAsia"/>
          <w:kern w:val="0"/>
          <w:shd w:val="clear" w:color="auto" w:fill="FFFFFF"/>
          <w:lang w:val="zh-CN"/>
        </w:rPr>
        <w:t>12.</w:t>
      </w:r>
      <w:r>
        <w:rPr>
          <w:kern w:val="0"/>
          <w:shd w:val="clear" w:color="auto" w:fill="FFFFFF"/>
          <w:lang w:val="zh-CN"/>
        </w:rPr>
        <w:t>负责生态环境保护领域的综合行政执法工作。组织开展全市生态环境保护执法检查。监督实施全市建设项目生态环境保护设施“三同时”制度。查处全市重大生态环境违法问题。负责全市生态环境保护综合执法队伍建设并指导开展业务工作。</w:t>
      </w:r>
    </w:p>
    <w:p>
      <w:pPr>
        <w:spacing w:line="640" w:lineRule="exact"/>
        <w:rPr>
          <w:kern w:val="0"/>
          <w:shd w:val="clear" w:color="auto" w:fill="FFFFFF"/>
          <w:lang w:val="zh-CN"/>
        </w:rPr>
      </w:pPr>
      <w:r>
        <w:rPr>
          <w:rFonts w:hint="eastAsia"/>
          <w:kern w:val="0"/>
          <w:shd w:val="clear" w:color="auto" w:fill="FFFFFF"/>
          <w:lang w:val="zh-CN"/>
        </w:rPr>
        <w:t>13.</w:t>
      </w:r>
      <w:r>
        <w:rPr>
          <w:kern w:val="0"/>
          <w:shd w:val="clear" w:color="auto" w:fill="FFFFFF"/>
          <w:lang w:val="zh-CN"/>
        </w:rPr>
        <w:t>组织指导和协调全市生态环境宣传教育工作。制定并组织实施全市生态环境保护宣传教育有关规划和计划。推动社会组织和公众参与生态环境保护。会同有关部门依法对全市保护和改善生态环境有显著成绩的单位和个人给予表彰和奖励。</w:t>
      </w:r>
    </w:p>
    <w:p>
      <w:pPr>
        <w:spacing w:line="640" w:lineRule="exact"/>
        <w:rPr>
          <w:kern w:val="0"/>
          <w:shd w:val="clear" w:color="auto" w:fill="FFFFFF"/>
          <w:lang w:val="zh-CN"/>
        </w:rPr>
      </w:pPr>
      <w:r>
        <w:rPr>
          <w:rFonts w:hint="eastAsia"/>
          <w:kern w:val="0"/>
          <w:shd w:val="clear" w:color="auto" w:fill="FFFFFF"/>
          <w:lang w:val="zh-CN"/>
        </w:rPr>
        <w:t>14.</w:t>
      </w:r>
      <w:r>
        <w:rPr>
          <w:kern w:val="0"/>
          <w:shd w:val="clear" w:color="auto" w:fill="FFFFFF"/>
          <w:lang w:val="zh-CN"/>
        </w:rPr>
        <w:t>开展全市生态环境科技工作。管理全市生态环境保护科技成果并推广应用。组织开展全市生态环境重大科学研究和技术工程示范，推动生态环境技术管理体系建设。</w:t>
      </w:r>
    </w:p>
    <w:p>
      <w:pPr>
        <w:spacing w:line="640" w:lineRule="exact"/>
        <w:rPr>
          <w:kern w:val="0"/>
          <w:shd w:val="clear" w:color="auto" w:fill="FFFFFF"/>
          <w:lang w:val="zh-CN"/>
        </w:rPr>
      </w:pPr>
      <w:r>
        <w:rPr>
          <w:rFonts w:hint="eastAsia"/>
          <w:kern w:val="0"/>
          <w:shd w:val="clear" w:color="auto" w:fill="FFFFFF"/>
          <w:lang w:val="zh-CN"/>
        </w:rPr>
        <w:t>15.</w:t>
      </w:r>
      <w:r>
        <w:rPr>
          <w:kern w:val="0"/>
          <w:shd w:val="clear" w:color="auto" w:fill="FFFFFF"/>
          <w:lang w:val="zh-CN"/>
        </w:rPr>
        <w:t>开展生态环境对外交流与合作。参与协调市内重要生态环境保护国际活动和区域合作，管理全市生态环境系统对外经济合作，参与处理涉外生态环境保护事务，负责与环境保护国际组织的联系工作。</w:t>
      </w:r>
    </w:p>
    <w:p>
      <w:pPr>
        <w:spacing w:line="640" w:lineRule="exact"/>
        <w:rPr>
          <w:kern w:val="0"/>
          <w:shd w:val="clear" w:color="auto" w:fill="FFFFFF"/>
          <w:lang w:val="zh-CN"/>
        </w:rPr>
      </w:pPr>
      <w:r>
        <w:rPr>
          <w:rFonts w:hint="eastAsia"/>
          <w:kern w:val="0"/>
          <w:shd w:val="clear" w:color="auto" w:fill="FFFFFF"/>
          <w:lang w:val="zh-CN"/>
        </w:rPr>
        <w:t>16.</w:t>
      </w:r>
      <w:r>
        <w:rPr>
          <w:kern w:val="0"/>
          <w:shd w:val="clear" w:color="auto" w:fill="FFFFFF"/>
          <w:lang w:val="zh-CN"/>
        </w:rPr>
        <w:t>负责职责范围内安全生产和职业健康、审批服务便民化等工作。</w:t>
      </w:r>
    </w:p>
    <w:p>
      <w:pPr>
        <w:spacing w:line="640" w:lineRule="exact"/>
        <w:rPr>
          <w:kern w:val="0"/>
          <w:shd w:val="clear" w:color="auto" w:fill="FFFFFF"/>
          <w:lang w:val="zh-CN"/>
        </w:rPr>
      </w:pPr>
      <w:r>
        <w:rPr>
          <w:rFonts w:hint="eastAsia"/>
          <w:kern w:val="0"/>
          <w:shd w:val="clear" w:color="auto" w:fill="FFFFFF"/>
          <w:lang w:val="zh-CN"/>
        </w:rPr>
        <w:t>17.</w:t>
      </w:r>
      <w:r>
        <w:rPr>
          <w:kern w:val="0"/>
          <w:shd w:val="clear" w:color="auto" w:fill="FFFFFF"/>
          <w:lang w:val="zh-CN"/>
        </w:rPr>
        <w:t>完成市委、市政府和省生态环境厅交办的其他任务。</w:t>
      </w:r>
    </w:p>
    <w:p>
      <w:pPr>
        <w:spacing w:line="640" w:lineRule="exact"/>
        <w:rPr>
          <w:kern w:val="0"/>
          <w:shd w:val="clear" w:color="auto" w:fill="FFFFFF"/>
          <w:lang w:val="zh-CN"/>
        </w:rPr>
      </w:pPr>
      <w:r>
        <w:rPr>
          <w:rFonts w:hint="eastAsia"/>
          <w:kern w:val="0"/>
          <w:shd w:val="clear" w:color="auto" w:fill="FFFFFF"/>
          <w:lang w:val="zh-CN"/>
        </w:rPr>
        <w:t>18.</w:t>
      </w:r>
      <w:r>
        <w:rPr>
          <w:kern w:val="0"/>
          <w:shd w:val="clear" w:color="auto" w:fill="FFFFFF"/>
          <w:lang w:val="zh-CN"/>
        </w:rPr>
        <w:t>职能转变。统一行使全市生态和城乡各类污染排放监管职责，按照国家、省确定的综合行政执法改革要求实施与此对应的行政执法职责，统一负责全市生态环境质量监测、调查评价和考核，切实履行监管责任，加强事中事后监管，全面落实大气、水、土壤污染防治行动计划，强化固体废物、化学品、重金属污染防治监督管理。构建政府为主导、企业为主体、社会组织和公众共同参与的生态环境治理体系，实施最严格的生态环境保护制度，严守生态保护红线和环境质量底线，坚决打好污染防治攻坚战，筑牢长江上游生态屏障，保障生态安全。</w:t>
      </w:r>
    </w:p>
    <w:p>
      <w:pPr>
        <w:spacing w:line="640" w:lineRule="exact"/>
        <w:rPr>
          <w:kern w:val="0"/>
          <w:shd w:val="clear" w:color="auto" w:fill="FFFFFF"/>
          <w:lang w:val="zh-CN"/>
        </w:rPr>
      </w:pPr>
      <w:r>
        <w:rPr>
          <w:rFonts w:hint="eastAsia"/>
          <w:kern w:val="0"/>
          <w:shd w:val="clear" w:color="auto" w:fill="FFFFFF"/>
          <w:lang w:val="zh-CN"/>
        </w:rPr>
        <w:t>（三）人员概况。</w:t>
      </w:r>
    </w:p>
    <w:p>
      <w:pPr>
        <w:spacing w:line="640" w:lineRule="exact"/>
        <w:rPr>
          <w:kern w:val="0"/>
          <w:shd w:val="clear" w:color="auto" w:fill="FFFFFF"/>
          <w:lang w:val="zh-CN"/>
        </w:rPr>
      </w:pPr>
      <w:r>
        <w:rPr>
          <w:rFonts w:hint="eastAsia"/>
          <w:kern w:val="0"/>
          <w:shd w:val="clear" w:color="auto" w:fill="FFFFFF"/>
          <w:lang w:val="zh-CN"/>
        </w:rPr>
        <w:t>截至12月底，</w:t>
      </w:r>
      <w:r>
        <w:rPr>
          <w:kern w:val="0"/>
          <w:shd w:val="clear" w:color="auto" w:fill="FFFFFF"/>
          <w:lang w:val="zh-CN"/>
        </w:rPr>
        <w:t>机关行政编制28名，工勤编制4名，参公事业编制33人，公益一类事业编制87人。</w:t>
      </w:r>
    </w:p>
    <w:p>
      <w:pPr>
        <w:spacing w:line="640" w:lineRule="exact"/>
        <w:rPr>
          <w:kern w:val="0"/>
          <w:shd w:val="clear" w:color="auto" w:fill="FFFFFF"/>
          <w:lang w:val="zh-CN"/>
        </w:rPr>
      </w:pPr>
      <w:r>
        <w:rPr>
          <w:rFonts w:hint="eastAsia"/>
          <w:kern w:val="0"/>
          <w:shd w:val="clear" w:color="auto" w:fill="FFFFFF"/>
          <w:lang w:val="zh-CN"/>
        </w:rPr>
        <w:t>二、部门财政资金收支情况</w:t>
      </w:r>
    </w:p>
    <w:p>
      <w:pPr>
        <w:pStyle w:val="17"/>
        <w:spacing w:line="640" w:lineRule="exact"/>
        <w:ind w:left="640"/>
        <w:rPr>
          <w:rFonts w:ascii="仿宋" w:eastAsia="仿宋"/>
          <w:color w:val="000000"/>
          <w:sz w:val="32"/>
          <w:szCs w:val="32"/>
          <w:shd w:val="clear" w:color="auto" w:fill="FFFFFF"/>
          <w:lang w:val="zh-CN"/>
        </w:rPr>
      </w:pPr>
      <w:r>
        <w:rPr>
          <w:rFonts w:ascii="仿宋" w:eastAsia="仿宋"/>
          <w:color w:val="000000"/>
          <w:sz w:val="32"/>
          <w:szCs w:val="32"/>
          <w:shd w:val="clear" w:color="auto" w:fill="FFFFFF"/>
          <w:lang w:val="zh-CN"/>
        </w:rPr>
        <w:t>（一）年初部门预算安排及支出情况</w:t>
      </w:r>
      <w:r>
        <w:rPr>
          <w:rFonts w:ascii="仿宋" w:eastAsia="仿宋" w:hint="eastAsia"/>
          <w:color w:val="000000"/>
          <w:sz w:val="32"/>
          <w:szCs w:val="32"/>
          <w:shd w:val="clear" w:color="auto" w:fill="FFFFFF"/>
          <w:lang w:val="zh-CN"/>
        </w:rPr>
        <w:t>。</w:t>
      </w:r>
    </w:p>
    <w:p>
      <w:pPr>
        <w:pStyle w:val="17"/>
        <w:spacing w:line="640" w:lineRule="exact"/>
        <w:ind w:firstLineChars="200" w:firstLine="640"/>
        <w:rPr>
          <w:rFonts w:ascii="仿宋" w:eastAsia="仿宋"/>
          <w:color w:val="000000"/>
          <w:sz w:val="32"/>
          <w:szCs w:val="32"/>
          <w:shd w:val="clear" w:color="auto" w:fill="FFFFFF"/>
          <w:lang w:val="zh-CN"/>
        </w:rPr>
      </w:pPr>
      <w:r>
        <w:rPr>
          <w:rFonts w:ascii="仿宋" w:eastAsia="仿宋"/>
          <w:color w:val="000000"/>
          <w:sz w:val="32"/>
          <w:szCs w:val="32"/>
          <w:shd w:val="clear" w:color="auto" w:fill="FFFFFF"/>
          <w:lang w:val="zh-CN"/>
        </w:rPr>
        <w:t>1</w:t>
      </w:r>
      <w:r>
        <w:rPr>
          <w:rFonts w:ascii="仿宋" w:eastAsia="仿宋" w:hint="eastAsia"/>
          <w:color w:val="000000"/>
          <w:sz w:val="32"/>
          <w:szCs w:val="32"/>
          <w:shd w:val="clear" w:color="auto" w:fill="FFFFFF"/>
          <w:lang w:val="zh-CN"/>
        </w:rPr>
        <w:t>．</w:t>
      </w:r>
      <w:r>
        <w:rPr>
          <w:rFonts w:ascii="仿宋" w:eastAsia="仿宋"/>
          <w:color w:val="000000"/>
          <w:sz w:val="32"/>
          <w:szCs w:val="32"/>
          <w:shd w:val="clear" w:color="auto" w:fill="FFFFFF"/>
          <w:lang w:val="zh-CN"/>
        </w:rPr>
        <w:t>基本支出安排及使用情况</w:t>
      </w:r>
      <w:r>
        <w:rPr>
          <w:rFonts w:ascii="仿宋" w:eastAsia="仿宋" w:hint="eastAsia"/>
          <w:color w:val="000000"/>
          <w:sz w:val="32"/>
          <w:szCs w:val="32"/>
          <w:shd w:val="clear" w:color="auto" w:fill="FFFFFF"/>
          <w:lang w:val="zh-CN"/>
        </w:rPr>
        <w:t>。</w:t>
      </w:r>
    </w:p>
    <w:p>
      <w:pPr>
        <w:pStyle w:val="17"/>
        <w:spacing w:line="640" w:lineRule="exact"/>
        <w:ind w:firstLineChars="200" w:firstLine="640"/>
        <w:rPr>
          <w:rFonts w:ascii="仿宋" w:eastAsia="仿宋"/>
          <w:color w:val="000000"/>
          <w:sz w:val="32"/>
          <w:szCs w:val="32"/>
          <w:shd w:val="clear" w:color="auto" w:fill="FFFFFF"/>
          <w:lang w:val="zh-CN"/>
        </w:rPr>
      </w:pPr>
      <w:r>
        <w:rPr>
          <w:rFonts w:ascii="仿宋" w:eastAsia="仿宋"/>
          <w:color w:val="000000"/>
          <w:sz w:val="32"/>
          <w:szCs w:val="32"/>
          <w:shd w:val="clear" w:color="auto" w:fill="FFFFFF"/>
          <w:lang w:val="zh-CN"/>
        </w:rPr>
        <w:t>基本支出年初预算2687.2万元，实际完成数2580.54万元，执行率100%。其中人员经费支出2323.49万元，公用支出363.71万元。</w:t>
      </w:r>
    </w:p>
    <w:p>
      <w:pPr>
        <w:pStyle w:val="17"/>
        <w:spacing w:line="640" w:lineRule="exact"/>
        <w:ind w:firstLineChars="200" w:firstLine="640"/>
        <w:rPr>
          <w:rFonts w:ascii="仿宋" w:eastAsia="仿宋"/>
          <w:color w:val="000000"/>
          <w:sz w:val="32"/>
          <w:szCs w:val="32"/>
          <w:shd w:val="clear" w:color="auto" w:fill="FFFFFF"/>
          <w:lang w:val="zh-CN"/>
        </w:rPr>
      </w:pPr>
      <w:r>
        <w:rPr>
          <w:rFonts w:ascii="仿宋" w:eastAsia="仿宋"/>
          <w:color w:val="000000"/>
          <w:sz w:val="32"/>
          <w:szCs w:val="32"/>
          <w:shd w:val="clear" w:color="auto" w:fill="FFFFFF"/>
          <w:lang w:val="zh-CN"/>
        </w:rPr>
        <w:t>2</w:t>
      </w:r>
      <w:r>
        <w:rPr>
          <w:rFonts w:ascii="仿宋" w:eastAsia="仿宋" w:hint="eastAsia"/>
          <w:color w:val="000000"/>
          <w:sz w:val="32"/>
          <w:szCs w:val="32"/>
          <w:shd w:val="clear" w:color="auto" w:fill="FFFFFF"/>
          <w:lang w:val="zh-CN"/>
        </w:rPr>
        <w:t>．</w:t>
      </w:r>
      <w:r>
        <w:rPr>
          <w:rFonts w:ascii="仿宋" w:eastAsia="仿宋"/>
          <w:color w:val="000000"/>
          <w:sz w:val="32"/>
          <w:szCs w:val="32"/>
          <w:shd w:val="clear" w:color="auto" w:fill="FFFFFF"/>
          <w:lang w:val="zh-CN"/>
        </w:rPr>
        <w:t>部门预算项目安排及支出情况</w:t>
      </w:r>
      <w:r>
        <w:rPr>
          <w:rFonts w:ascii="仿宋" w:eastAsia="仿宋" w:hint="eastAsia"/>
          <w:color w:val="000000"/>
          <w:sz w:val="32"/>
          <w:szCs w:val="32"/>
          <w:shd w:val="clear" w:color="auto" w:fill="FFFFFF"/>
          <w:lang w:val="zh-CN"/>
        </w:rPr>
        <w:t>。</w:t>
      </w:r>
    </w:p>
    <w:p>
      <w:pPr>
        <w:pStyle w:val="17"/>
        <w:spacing w:line="640" w:lineRule="exact"/>
        <w:ind w:firstLineChars="200" w:firstLine="640"/>
        <w:rPr>
          <w:rFonts w:ascii="仿宋" w:eastAsia="仿宋"/>
          <w:color w:val="000000"/>
          <w:sz w:val="32"/>
          <w:szCs w:val="32"/>
          <w:shd w:val="clear" w:color="auto" w:fill="FFFFFF"/>
          <w:lang w:val="zh-CN"/>
        </w:rPr>
      </w:pPr>
      <w:r>
        <w:rPr>
          <w:rFonts w:ascii="仿宋" w:eastAsia="仿宋"/>
          <w:color w:val="000000"/>
          <w:sz w:val="32"/>
          <w:szCs w:val="32"/>
          <w:shd w:val="clear" w:color="auto" w:fill="FFFFFF"/>
          <w:lang w:val="zh-CN"/>
        </w:rPr>
        <w:t>项目支出年初预算安排项目9个，安排资金433万元，其中业务运行费35万元，环境公报、调查和宣传经费50万元，环境信息系统及污染源自动监控系统运维经费70万元，环保督察专项经费15万元，第二次全国污染源普查经费30万元，环保三大战役工作经费20万元，环境监察执法经费10万元，环境监测专项经费200万元，2019年援藏援彝干部人才补助经费3万元。以上项目均已执行完毕，执行率100%。</w:t>
      </w:r>
    </w:p>
    <w:p>
      <w:pPr>
        <w:pStyle w:val="17"/>
        <w:spacing w:line="640" w:lineRule="exact"/>
        <w:rPr>
          <w:rFonts w:ascii="仿宋" w:eastAsia="仿宋"/>
          <w:color w:val="000000"/>
          <w:sz w:val="32"/>
          <w:szCs w:val="32"/>
          <w:shd w:val="clear" w:color="auto" w:fill="FFFFFF"/>
          <w:lang w:val="zh-CN"/>
        </w:rPr>
      </w:pPr>
      <w:r>
        <w:rPr>
          <w:rFonts w:ascii="仿宋" w:eastAsia="仿宋" w:hint="eastAsia"/>
          <w:color w:val="000000"/>
          <w:sz w:val="32"/>
          <w:szCs w:val="32"/>
          <w:shd w:val="clear" w:color="auto" w:fill="FFFFFF"/>
          <w:lang w:val="zh-CN"/>
        </w:rPr>
        <w:t xml:space="preserve">    </w:t>
      </w:r>
      <w:r>
        <w:rPr>
          <w:rFonts w:ascii="仿宋" w:eastAsia="仿宋"/>
          <w:color w:val="000000"/>
          <w:sz w:val="32"/>
          <w:szCs w:val="32"/>
          <w:shd w:val="clear" w:color="auto" w:fill="FFFFFF"/>
          <w:lang w:val="zh-CN"/>
        </w:rPr>
        <w:t>（二）追加预算安排及支出情况</w:t>
      </w:r>
      <w:r>
        <w:rPr>
          <w:rFonts w:ascii="仿宋" w:eastAsia="仿宋" w:hint="eastAsia"/>
          <w:color w:val="000000"/>
          <w:sz w:val="32"/>
          <w:szCs w:val="32"/>
          <w:shd w:val="clear" w:color="auto" w:fill="FFFFFF"/>
          <w:lang w:val="zh-CN"/>
        </w:rPr>
        <w:t>。</w:t>
      </w:r>
    </w:p>
    <w:p>
      <w:pPr>
        <w:pStyle w:val="17"/>
        <w:spacing w:line="640" w:lineRule="exact"/>
        <w:ind w:firstLineChars="200" w:firstLine="640"/>
        <w:rPr>
          <w:rFonts w:ascii="仿宋" w:eastAsia="仿宋"/>
          <w:color w:val="000000"/>
          <w:sz w:val="32"/>
          <w:szCs w:val="32"/>
          <w:shd w:val="clear" w:color="auto" w:fill="FFFFFF"/>
          <w:lang w:val="zh-CN"/>
        </w:rPr>
      </w:pPr>
      <w:r>
        <w:rPr>
          <w:rFonts w:ascii="仿宋" w:eastAsia="仿宋"/>
          <w:color w:val="000000"/>
          <w:sz w:val="32"/>
          <w:szCs w:val="32"/>
          <w:shd w:val="clear" w:color="auto" w:fill="FFFFFF"/>
          <w:lang w:val="zh-CN"/>
        </w:rPr>
        <w:t>追加预算446.09万元，其中基本支出追加106.99万元，全部执行完毕，执行率100%；项目支出追加392.10，执行342.10万元，执行率87%，余省下专款污染源自动监控系统运维资金50万元未执行。</w:t>
      </w:r>
    </w:p>
    <w:p>
      <w:pPr>
        <w:pStyle w:val="17"/>
        <w:spacing w:line="640" w:lineRule="exact"/>
        <w:ind w:firstLineChars="200" w:firstLine="640"/>
        <w:rPr>
          <w:rFonts w:ascii="仿宋" w:eastAsia="仿宋"/>
          <w:color w:val="000000"/>
          <w:sz w:val="32"/>
          <w:szCs w:val="32"/>
          <w:shd w:val="clear" w:color="auto" w:fill="FFFFFF"/>
          <w:lang w:val="zh-CN"/>
        </w:rPr>
      </w:pPr>
      <w:r>
        <w:rPr>
          <w:rFonts w:ascii="仿宋" w:eastAsia="仿宋"/>
          <w:color w:val="000000"/>
          <w:sz w:val="32"/>
          <w:szCs w:val="32"/>
          <w:shd w:val="clear" w:color="auto" w:fill="FFFFFF"/>
          <w:lang w:val="zh-CN"/>
        </w:rPr>
        <w:t>（三）专项资金安排及支出情况</w:t>
      </w:r>
      <w:r>
        <w:rPr>
          <w:rFonts w:ascii="仿宋" w:eastAsia="仿宋" w:hint="eastAsia"/>
          <w:color w:val="000000"/>
          <w:sz w:val="32"/>
          <w:szCs w:val="32"/>
          <w:shd w:val="clear" w:color="auto" w:fill="FFFFFF"/>
          <w:lang w:val="zh-CN"/>
        </w:rPr>
        <w:t>。</w:t>
      </w:r>
    </w:p>
    <w:p>
      <w:pPr>
        <w:pStyle w:val="17"/>
        <w:spacing w:line="640" w:lineRule="exact"/>
        <w:ind w:firstLineChars="200" w:firstLine="640"/>
        <w:rPr>
          <w:rFonts w:ascii="仿宋" w:eastAsia="仿宋"/>
          <w:color w:val="000000"/>
          <w:sz w:val="32"/>
          <w:szCs w:val="32"/>
          <w:shd w:val="clear" w:color="auto" w:fill="FFFFFF"/>
          <w:lang w:val="zh-CN"/>
        </w:rPr>
      </w:pPr>
      <w:r>
        <w:rPr>
          <w:rFonts w:ascii="仿宋" w:eastAsia="仿宋"/>
          <w:color w:val="000000"/>
          <w:sz w:val="32"/>
          <w:szCs w:val="32"/>
          <w:shd w:val="clear" w:color="auto" w:fill="FFFFFF"/>
          <w:lang w:val="zh-CN"/>
        </w:rPr>
        <w:t>专项资金安排项目13个，安排资金2244.4万元，实际执行161.98万元，执行率7%。建设项目环评评估专项经费38.5万元，实际执行38.5万元，执行率100%；十四五前期项目工作经费8万元，实际执行0万元；空气自动监测微站建设671万元，实际执行0万元；土壤污染防治专项资金156.8万元，实际执行0万元；细颗粒物源解析及恶臭气体溯源190万元，实际执行0万元；移动源排气污染检测执法设备更新机动车污染监管网络平台运行维护11万元，实际执行5万元，执行率45%；移动执法外网系统功能改造15万元，实际执行14.12万元，执行率94%；观音岩饮用水源保护区规范化建设655.6万元，实际执行8.12万元，执行率1%；长江经济带水质自动监测能力建设项目131万元，实际执行0万元。省控环境监测网络例行监测经费208.5万元，实际执行87.95万元，执行率42%；省控水质自动监测系统运行经费13万元，实际执行6.53万元，执行率50%；省控空气质量自动监测系统运行经费6万元，实际执行1.76万元，执行率29%；臭氧在线源解析140万元，实际执行0万元。</w:t>
      </w:r>
    </w:p>
    <w:p>
      <w:pPr>
        <w:spacing w:line="640" w:lineRule="exact"/>
        <w:rPr>
          <w:kern w:val="0"/>
          <w:shd w:val="clear" w:color="auto" w:fill="FFFFFF"/>
          <w:lang w:val="zh-CN"/>
        </w:rPr>
      </w:pPr>
      <w:r>
        <w:rPr>
          <w:rFonts w:hint="eastAsia"/>
          <w:kern w:val="0"/>
          <w:shd w:val="clear" w:color="auto" w:fill="FFFFFF"/>
          <w:lang w:val="zh-CN"/>
        </w:rPr>
        <w:t>三、部门整体预算绩效管理情况</w:t>
      </w:r>
    </w:p>
    <w:p>
      <w:pPr>
        <w:spacing w:line="640" w:lineRule="exact"/>
        <w:rPr>
          <w:kern w:val="0"/>
          <w:shd w:val="clear" w:color="auto" w:fill="FFFFFF"/>
          <w:lang w:val="zh-CN"/>
        </w:rPr>
      </w:pPr>
      <w:r>
        <w:rPr>
          <w:rFonts w:hint="eastAsia"/>
          <w:kern w:val="0"/>
          <w:shd w:val="clear" w:color="auto" w:fill="FFFFFF"/>
          <w:lang w:val="zh-CN"/>
        </w:rPr>
        <w:t>（一）部门预算管理。</w:t>
      </w:r>
    </w:p>
    <w:p>
      <w:pPr>
        <w:spacing w:line="640" w:lineRule="exact"/>
        <w:rPr>
          <w:kern w:val="0"/>
          <w:shd w:val="clear" w:color="auto" w:fill="FFFFFF"/>
          <w:lang w:val="zh-CN"/>
        </w:rPr>
      </w:pPr>
      <w:r>
        <w:rPr>
          <w:rFonts w:hint="eastAsia"/>
          <w:kern w:val="0"/>
          <w:shd w:val="clear" w:color="auto" w:fill="FFFFFF"/>
          <w:lang w:val="zh-CN"/>
        </w:rPr>
        <w:t>我部门在编制预算时，同时编制绩效目标，把预算申报与绩效申报结合起来。在预算执行过程中，对绩效目标进行监控分析，对偏离绩效目标或者预期不能达到绩效目标的项目进行通报，限期整改。年末对绩效目标完成情况进行考评。</w:t>
      </w:r>
    </w:p>
    <w:p>
      <w:pPr>
        <w:spacing w:line="640" w:lineRule="exact"/>
        <w:rPr>
          <w:kern w:val="0"/>
          <w:shd w:val="clear" w:color="auto" w:fill="FFFFFF"/>
          <w:lang w:val="zh-CN"/>
        </w:rPr>
      </w:pPr>
      <w:r>
        <w:rPr>
          <w:rFonts w:hint="eastAsia"/>
          <w:kern w:val="0"/>
          <w:shd w:val="clear" w:color="auto" w:fill="FFFFFF"/>
          <w:lang w:val="zh-CN"/>
        </w:rPr>
        <w:t>（二）结果应用情况。</w:t>
      </w:r>
    </w:p>
    <w:p>
      <w:pPr>
        <w:spacing w:line="640" w:lineRule="exact"/>
        <w:rPr>
          <w:kern w:val="0"/>
          <w:shd w:val="clear" w:color="auto" w:fill="FFFFFF"/>
          <w:lang w:val="zh-CN"/>
        </w:rPr>
      </w:pPr>
      <w:r>
        <w:rPr>
          <w:shd w:val="clear" w:color="auto" w:fill="FFFFFF"/>
          <w:lang w:val="zh-CN"/>
        </w:rPr>
        <w:t>我部门拟将本次绩效评价结果通报机关各科室及直属单位，督促相关业务科室及直属单位加快项目推进，提高绩效评价意识，建立科学的资金效益考评制度，将绩效评价贯穿于项目立项实施完成的全过程。</w:t>
      </w:r>
    </w:p>
    <w:p>
      <w:pPr>
        <w:spacing w:line="640" w:lineRule="exact"/>
        <w:rPr>
          <w:kern w:val="0"/>
          <w:shd w:val="clear" w:color="auto" w:fill="FFFFFF"/>
          <w:lang w:val="zh-CN"/>
        </w:rPr>
      </w:pPr>
      <w:r>
        <w:rPr>
          <w:rFonts w:hint="eastAsia"/>
          <w:kern w:val="0"/>
          <w:shd w:val="clear" w:color="auto" w:fill="FFFFFF"/>
          <w:lang w:val="zh-CN"/>
        </w:rPr>
        <w:t>四、评价结论及建议</w:t>
      </w:r>
    </w:p>
    <w:p>
      <w:pPr>
        <w:spacing w:line="640" w:lineRule="exact"/>
        <w:rPr>
          <w:kern w:val="0"/>
          <w:shd w:val="clear" w:color="auto" w:fill="FFFFFF"/>
          <w:lang w:val="zh-CN"/>
        </w:rPr>
      </w:pPr>
      <w:r>
        <w:rPr>
          <w:rFonts w:hint="eastAsia"/>
          <w:kern w:val="0"/>
          <w:shd w:val="clear" w:color="auto" w:fill="FFFFFF"/>
          <w:lang w:val="zh-CN"/>
        </w:rPr>
        <w:t>（一）评价结论。</w:t>
      </w:r>
    </w:p>
    <w:p>
      <w:pPr>
        <w:autoSpaceDE w:val="0"/>
        <w:autoSpaceDN w:val="0"/>
        <w:adjustRightInd w:val="0"/>
        <w:spacing w:line="640" w:lineRule="exact"/>
        <w:rPr>
          <w:kern w:val="0"/>
          <w:shd w:val="clear" w:color="auto" w:fill="FFFFFF"/>
          <w:lang w:val="zh-CN"/>
        </w:rPr>
      </w:pPr>
      <w:r>
        <w:rPr>
          <w:kern w:val="0"/>
          <w:shd w:val="clear" w:color="auto" w:fill="FFFFFF"/>
          <w:lang w:val="zh-CN"/>
        </w:rPr>
        <w:t>所实施项目决策立项符合资金管理相关规定，政府采购程序合法规范，施工项目管理规范，质量监督检查严格，施工质量良好。我局及下属事业单位能对环保资金专款专用，规范开支，杜绝资金漏洞，提高了环保资金利用效率。项目实施后达到了预期的社会效益和生态效益，社会公众满意度较高。</w:t>
      </w:r>
    </w:p>
    <w:p>
      <w:pPr>
        <w:spacing w:line="640" w:lineRule="exact"/>
        <w:rPr>
          <w:kern w:val="0"/>
          <w:shd w:val="clear" w:color="auto" w:fill="FFFFFF"/>
          <w:lang w:val="zh-CN"/>
        </w:rPr>
      </w:pPr>
      <w:r>
        <w:rPr>
          <w:rFonts w:hint="eastAsia"/>
          <w:kern w:val="0"/>
          <w:shd w:val="clear" w:color="auto" w:fill="FFFFFF"/>
          <w:lang w:val="zh-CN"/>
        </w:rPr>
        <w:t>（二）存在问题。</w:t>
      </w:r>
    </w:p>
    <w:p>
      <w:pPr>
        <w:spacing w:line="640" w:lineRule="exact"/>
        <w:rPr>
          <w:kern w:val="0"/>
          <w:shd w:val="clear" w:color="auto" w:fill="FFFFFF"/>
          <w:lang w:val="zh-CN"/>
        </w:rPr>
      </w:pPr>
      <w:r>
        <w:rPr>
          <w:kern w:val="0"/>
          <w:shd w:val="clear" w:color="auto" w:fill="FFFFFF"/>
          <w:lang w:val="zh-CN"/>
        </w:rPr>
        <w:t>年初部门预算及市级专项资金完成情况好，资金执行率高，达到了预期效益。上级专项资金为建设项目资金、科研项目资金、设备运维资金，因项目实施周期长，需根据项目进度支付，故资金执行率低。</w:t>
      </w:r>
    </w:p>
    <w:p>
      <w:pPr>
        <w:spacing w:line="640" w:lineRule="exact"/>
        <w:rPr>
          <w:kern w:val="0"/>
          <w:shd w:val="clear" w:color="auto" w:fill="FFFFFF"/>
          <w:lang w:val="zh-CN"/>
        </w:rPr>
      </w:pPr>
      <w:r>
        <w:rPr>
          <w:rFonts w:hint="eastAsia"/>
          <w:kern w:val="0"/>
          <w:shd w:val="clear" w:color="auto" w:fill="FFFFFF"/>
          <w:lang w:val="zh-CN"/>
        </w:rPr>
        <w:t>（三）改进建议。</w:t>
      </w:r>
    </w:p>
    <w:p>
      <w:pPr>
        <w:spacing w:line="640" w:lineRule="exact"/>
        <w:rPr>
          <w:kern w:val="0"/>
          <w:shd w:val="clear" w:color="auto" w:fill="FFFFFF"/>
          <w:lang w:val="zh-CN"/>
        </w:rPr>
      </w:pPr>
      <w:r>
        <w:rPr>
          <w:kern w:val="0"/>
          <w:shd w:val="clear" w:color="auto" w:fill="FFFFFF"/>
          <w:lang w:val="zh-CN"/>
        </w:rPr>
        <w:t>下一步，我部门将加快项目进度推进，提高资金执行率。</w:t>
      </w:r>
    </w:p>
    <w:p>
      <w:pPr>
        <w:spacing w:line="640" w:lineRule="exact"/>
        <w:rPr>
          <w:kern w:val="0"/>
          <w:shd w:val="clear" w:color="auto" w:fill="FFFFFF"/>
          <w:lang w:val="zh-CN"/>
        </w:rPr>
      </w:pPr>
    </w:p>
    <w:p>
      <w:pPr>
        <w:spacing w:line="640" w:lineRule="exact"/>
      </w:pPr>
    </w:p>
    <w:p/>
    <w:p/>
    <w:p/>
    <w:p/>
    <w:p>
      <w:pPr>
        <w:rPr>
          <w:rFonts w:ascii="仿宋_GB2312" w:eastAsia="仿宋_GB2312" w:cs="仿宋_GB2312"/>
        </w:rPr>
      </w:pPr>
      <w:r>
        <w:rPr>
          <w:rFonts w:hint="eastAsia"/>
        </w:rPr>
        <w:t>附件2</w:t>
      </w:r>
    </w:p>
    <w:p/>
    <w:p>
      <w:pPr>
        <w:jc w:val="center"/>
        <w:rPr>
          <w:kern w:val="0"/>
          <w:lang w:val="zh-CN"/>
        </w:rPr>
      </w:pPr>
      <w:r>
        <w:rPr>
          <w:rFonts w:hint="eastAsia"/>
          <w:kern w:val="0"/>
        </w:rPr>
        <w:t>重点</w:t>
      </w:r>
      <w:r>
        <w:rPr>
          <w:rFonts w:hint="eastAsia"/>
          <w:kern w:val="0"/>
          <w:lang w:val="zh-CN"/>
        </w:rPr>
        <w:t>项目</w:t>
      </w:r>
      <w:r>
        <w:rPr>
          <w:rFonts w:hint="eastAsia"/>
          <w:kern w:val="0"/>
        </w:rPr>
        <w:t>2019年</w:t>
      </w:r>
      <w:r>
        <w:rPr>
          <w:rFonts w:hint="eastAsia"/>
          <w:kern w:val="0"/>
          <w:lang w:val="zh-CN"/>
        </w:rPr>
        <w:t>绩效评价报告</w:t>
      </w:r>
    </w:p>
    <w:p>
      <w:pPr>
        <w:rPr>
          <w:lang w:val="zh-CN"/>
        </w:rPr>
      </w:pPr>
    </w:p>
    <w:p>
      <w:pPr>
        <w:spacing w:line="640" w:lineRule="exact"/>
        <w:rPr>
          <w:lang w:val="zh-CN"/>
        </w:rPr>
      </w:pPr>
      <w:r>
        <w:rPr>
          <w:rFonts w:hint="eastAsia"/>
        </w:rPr>
        <w:t>一、</w:t>
      </w:r>
      <w:r>
        <w:rPr>
          <w:rFonts w:hint="eastAsia"/>
          <w:lang w:val="zh-CN"/>
        </w:rPr>
        <w:t>项目概况</w:t>
      </w:r>
    </w:p>
    <w:p>
      <w:pPr>
        <w:spacing w:line="640" w:lineRule="exact"/>
        <w:rPr>
          <w:lang w:val="zh-CN"/>
        </w:rPr>
      </w:pPr>
      <w:r>
        <w:rPr>
          <w:rFonts w:hint="eastAsia"/>
          <w:lang w:val="zh-CN"/>
        </w:rPr>
        <w:t>（一）项目基本情况。</w:t>
      </w:r>
    </w:p>
    <w:p>
      <w:pPr>
        <w:autoSpaceDE w:val="0"/>
        <w:autoSpaceDN w:val="0"/>
        <w:adjustRightInd w:val="0"/>
        <w:spacing w:line="640" w:lineRule="exact"/>
        <w:jc w:val="left"/>
        <w:rPr>
          <w:lang w:val="zh-CN"/>
        </w:rPr>
      </w:pPr>
      <w:r>
        <w:rPr>
          <w:lang w:val="zh-CN"/>
        </w:rPr>
        <w:t>1．</w:t>
      </w:r>
      <w:r>
        <w:rPr>
          <w:rFonts w:hint="eastAsia"/>
          <w:lang w:val="zh-CN"/>
        </w:rPr>
        <w:t>我局</w:t>
      </w:r>
      <w:r>
        <w:rPr>
          <w:lang w:val="zh-CN"/>
        </w:rPr>
        <w:t>在该项目管理中的职能。</w:t>
      </w:r>
    </w:p>
    <w:p>
      <w:pPr>
        <w:autoSpaceDE w:val="0"/>
        <w:autoSpaceDN w:val="0"/>
        <w:adjustRightInd w:val="0"/>
        <w:spacing w:line="640" w:lineRule="exact"/>
        <w:rPr>
          <w:lang w:val="zh-CN"/>
        </w:rPr>
      </w:pPr>
      <w:r>
        <w:rPr>
          <w:rFonts w:hint="eastAsia"/>
          <w:lang w:val="zh-CN"/>
        </w:rPr>
        <w:t>（1）指导县（区）开展环境保护综合治理工作，充分发挥市级环境保护专项资金的作用；</w:t>
      </w:r>
    </w:p>
    <w:p>
      <w:pPr>
        <w:autoSpaceDE w:val="0"/>
        <w:autoSpaceDN w:val="0"/>
        <w:adjustRightInd w:val="0"/>
        <w:spacing w:line="640" w:lineRule="exact"/>
        <w:rPr>
          <w:lang w:val="zh-CN"/>
        </w:rPr>
      </w:pPr>
      <w:r>
        <w:rPr>
          <w:rFonts w:hint="eastAsia"/>
          <w:lang w:val="zh-CN"/>
        </w:rPr>
        <w:t>（2）围绕国家提出的生态文明建设要求，根据创国模规划中确立的创建路径和环境污染治理重点，按照区域、流域治理和控制的主要特征污染物，会同市财政局制定项目申报下发各县（区）人民政府；</w:t>
      </w:r>
    </w:p>
    <w:p>
      <w:pPr>
        <w:autoSpaceDE w:val="0"/>
        <w:autoSpaceDN w:val="0"/>
        <w:adjustRightInd w:val="0"/>
        <w:spacing w:line="640" w:lineRule="exact"/>
        <w:rPr>
          <w:lang w:val="zh-CN"/>
        </w:rPr>
      </w:pPr>
      <w:r>
        <w:rPr>
          <w:rFonts w:hint="eastAsia"/>
          <w:lang w:val="zh-CN"/>
        </w:rPr>
        <w:t>（3）负责跟踪、检查专项资金使用和项目实施情况，</w:t>
      </w:r>
    </w:p>
    <w:p>
      <w:pPr>
        <w:autoSpaceDE w:val="0"/>
        <w:autoSpaceDN w:val="0"/>
        <w:adjustRightInd w:val="0"/>
        <w:spacing w:line="640" w:lineRule="exact"/>
        <w:rPr>
          <w:lang w:val="zh-CN"/>
        </w:rPr>
      </w:pPr>
      <w:r>
        <w:rPr>
          <w:rFonts w:hint="eastAsia"/>
          <w:lang w:val="zh-CN"/>
        </w:rPr>
        <w:t>负责项目验收，配合市财政部门组织开展项目绩效评价；</w:t>
      </w:r>
    </w:p>
    <w:p>
      <w:pPr>
        <w:autoSpaceDE w:val="0"/>
        <w:autoSpaceDN w:val="0"/>
        <w:adjustRightInd w:val="0"/>
        <w:spacing w:line="640" w:lineRule="exact"/>
        <w:rPr>
          <w:lang w:val="zh-CN"/>
        </w:rPr>
      </w:pPr>
      <w:r>
        <w:rPr>
          <w:rFonts w:hint="eastAsia"/>
          <w:lang w:val="zh-CN"/>
        </w:rPr>
        <w:t>（4）会同市财政部门制定与本办法配套的有关实施细则和操作规程。</w:t>
      </w:r>
    </w:p>
    <w:p>
      <w:pPr>
        <w:autoSpaceDE w:val="0"/>
        <w:autoSpaceDN w:val="0"/>
        <w:adjustRightInd w:val="0"/>
        <w:spacing w:line="640" w:lineRule="exact"/>
        <w:jc w:val="left"/>
        <w:rPr>
          <w:lang w:val="zh-CN"/>
        </w:rPr>
      </w:pPr>
      <w:r>
        <w:rPr>
          <w:lang w:val="zh-CN"/>
        </w:rPr>
        <w:t>2．项目立项、资金申报的依据。</w:t>
      </w:r>
    </w:p>
    <w:p>
      <w:pPr>
        <w:autoSpaceDE w:val="0"/>
        <w:autoSpaceDN w:val="0"/>
        <w:adjustRightInd w:val="0"/>
        <w:spacing w:line="640" w:lineRule="exact"/>
        <w:rPr>
          <w:lang w:val="zh-CN"/>
        </w:rPr>
      </w:pPr>
      <w:r>
        <w:rPr>
          <w:rFonts w:hint="eastAsia"/>
          <w:lang w:val="zh-CN"/>
        </w:rPr>
        <w:t>该项目立项、资金申报依据为《攀枝花市市级环境保护专项资金管理办法》。</w:t>
      </w:r>
    </w:p>
    <w:p>
      <w:pPr>
        <w:autoSpaceDE w:val="0"/>
        <w:autoSpaceDN w:val="0"/>
        <w:adjustRightInd w:val="0"/>
        <w:spacing w:line="640" w:lineRule="exact"/>
        <w:jc w:val="left"/>
        <w:rPr>
          <w:lang w:val="zh-CN"/>
        </w:rPr>
      </w:pPr>
      <w:r>
        <w:rPr>
          <w:lang w:val="zh-CN"/>
        </w:rPr>
        <w:t>3．资金管理办法制定情况，资金支持具体项目的条件、范围与支持方式概况。</w:t>
      </w:r>
    </w:p>
    <w:p>
      <w:pPr>
        <w:autoSpaceDE w:val="0"/>
        <w:autoSpaceDN w:val="0"/>
        <w:adjustRightInd w:val="0"/>
        <w:spacing w:line="640" w:lineRule="exact"/>
        <w:jc w:val="left"/>
        <w:rPr>
          <w:lang w:val="zh-CN"/>
        </w:rPr>
      </w:pPr>
      <w:r>
        <w:rPr>
          <w:rFonts w:hint="eastAsia"/>
          <w:lang w:val="zh-CN"/>
        </w:rPr>
        <w:t>为了加强财政专项资金管理，强化支出责任，建立科学、合理的专项资金绩效评价管理体系，我局同市财政局制定了《攀枝花市市级环境保护专项资金管理办法》，该办法管理下的环保专项资金资助对象则具备健全的财务核算和管理体系；项目所有开支均按照相关制度执行，资金的使用全部实行专账管理。专项资金适用范围有：重点污染源治理项目、重金属污染防治项目、清洁生产项目；重点区域环境综合整治和污染集中控制项目；总量减排等重点领域、行业污染治理；污染防治新技术、新工艺、新设备的推广应用项目；环境污染治理示范工程；集中式饮用水源地污染治理项目；重点小流域综合整治项目、农村村庄连片环境综合整治及土壤污染治理试点示范项目、规模化（养殖小区）畜禽养殖污染治理项目；环境监测、监察、预警、应急、信息、评估、统计、科技、宣教、依法行政等环境保护监管执法能力标准化建设和运行保障项目；根据市政府有关政策和部署，市财政局和市环保局研究确定的其他环境保护项目。专项资金主要采取“定向财力转移支付”、“竞争立项”和“特定补助”等方式进行分配。目前分配方式主要是定向财力转移支付。</w:t>
      </w:r>
    </w:p>
    <w:p>
      <w:pPr>
        <w:autoSpaceDE w:val="0"/>
        <w:autoSpaceDN w:val="0"/>
        <w:adjustRightInd w:val="0"/>
        <w:spacing w:line="640" w:lineRule="exact"/>
        <w:jc w:val="left"/>
        <w:rPr>
          <w:lang w:val="zh-CN"/>
        </w:rPr>
      </w:pPr>
      <w:r>
        <w:rPr>
          <w:lang w:val="zh-CN"/>
        </w:rPr>
        <w:t>4．资金分配的原则及考虑因素。</w:t>
      </w:r>
    </w:p>
    <w:p>
      <w:pPr>
        <w:autoSpaceDE w:val="0"/>
        <w:autoSpaceDN w:val="0"/>
        <w:adjustRightInd w:val="0"/>
        <w:spacing w:line="640" w:lineRule="exact"/>
        <w:rPr>
          <w:lang w:val="zh-CN"/>
        </w:rPr>
      </w:pPr>
      <w:r>
        <w:rPr>
          <w:rFonts w:hint="eastAsia"/>
          <w:lang w:val="zh-CN"/>
        </w:rPr>
        <w:t>专项资金支出要做到专款专用的，严格遵守相关的资金管理办法。定向财力转移支付项目，遵循环境质量、专项资金绩效考评等因素。</w:t>
      </w:r>
    </w:p>
    <w:p>
      <w:pPr>
        <w:autoSpaceDE w:val="0"/>
        <w:autoSpaceDN w:val="0"/>
        <w:adjustRightInd w:val="0"/>
        <w:spacing w:line="640" w:lineRule="exact"/>
        <w:jc w:val="left"/>
        <w:rPr>
          <w:lang w:val="zh-CN"/>
        </w:rPr>
      </w:pPr>
      <w:r>
        <w:rPr>
          <w:lang w:val="zh-CN"/>
        </w:rPr>
        <w:t>（二）项目绩效目标。</w:t>
      </w:r>
    </w:p>
    <w:p>
      <w:pPr>
        <w:autoSpaceDE w:val="0"/>
        <w:autoSpaceDN w:val="0"/>
        <w:adjustRightInd w:val="0"/>
        <w:spacing w:line="640" w:lineRule="exact"/>
        <w:jc w:val="left"/>
        <w:rPr>
          <w:lang w:val="zh-CN"/>
        </w:rPr>
      </w:pPr>
      <w:r>
        <w:rPr>
          <w:lang w:val="zh-CN"/>
        </w:rPr>
        <w:t>1．项目主要内容。</w:t>
      </w:r>
    </w:p>
    <w:p>
      <w:pPr>
        <w:autoSpaceDE w:val="0"/>
        <w:autoSpaceDN w:val="0"/>
        <w:adjustRightInd w:val="0"/>
        <w:spacing w:line="640" w:lineRule="exact"/>
        <w:jc w:val="left"/>
        <w:rPr>
          <w:lang w:val="zh-CN"/>
        </w:rPr>
      </w:pPr>
      <w:r>
        <w:rPr>
          <w:rFonts w:hint="eastAsia"/>
          <w:lang w:val="zh-CN"/>
        </w:rPr>
        <w:t>（1）完成2019年度建设项目的环评评估。</w:t>
      </w:r>
    </w:p>
    <w:p>
      <w:pPr>
        <w:autoSpaceDE w:val="0"/>
        <w:autoSpaceDN w:val="0"/>
        <w:adjustRightInd w:val="0"/>
        <w:spacing w:line="640" w:lineRule="exact"/>
        <w:jc w:val="left"/>
        <w:rPr>
          <w:lang w:val="zh-CN"/>
        </w:rPr>
      </w:pPr>
      <w:r>
        <w:rPr>
          <w:rFonts w:hint="eastAsia"/>
          <w:lang w:val="zh-CN"/>
        </w:rPr>
        <w:t>（2）</w:t>
      </w:r>
      <w:r>
        <w:rPr>
          <w:lang w:val="zh-CN"/>
        </w:rPr>
        <w:t>450</w:t>
      </w:r>
      <w:r>
        <w:rPr>
          <w:rFonts w:hint="eastAsia"/>
          <w:lang w:val="zh-CN"/>
        </w:rPr>
        <w:t>个地块方案编制、布点审核、风险筛查；</w:t>
      </w:r>
      <w:r>
        <w:rPr>
          <w:lang w:val="zh-CN"/>
        </w:rPr>
        <w:t>4</w:t>
      </w:r>
      <w:r>
        <w:rPr>
          <w:rFonts w:hint="eastAsia"/>
          <w:lang w:val="zh-CN"/>
        </w:rPr>
        <w:t>个县级饮用水源地陆域土壤污染评估、</w:t>
      </w:r>
      <w:r>
        <w:rPr>
          <w:lang w:val="zh-CN"/>
        </w:rPr>
        <w:t>118</w:t>
      </w:r>
      <w:r>
        <w:rPr>
          <w:rFonts w:hint="eastAsia"/>
          <w:lang w:val="zh-CN"/>
        </w:rPr>
        <w:t>个企业用地调查。</w:t>
      </w:r>
    </w:p>
    <w:p>
      <w:pPr>
        <w:autoSpaceDE w:val="0"/>
        <w:autoSpaceDN w:val="0"/>
        <w:adjustRightInd w:val="0"/>
        <w:spacing w:line="640" w:lineRule="exact"/>
        <w:jc w:val="left"/>
        <w:rPr>
          <w:lang w:val="zh-CN"/>
        </w:rPr>
      </w:pPr>
      <w:r>
        <w:rPr>
          <w:lang w:val="zh-CN"/>
        </w:rPr>
        <w:t>2．</w:t>
      </w:r>
      <w:r>
        <w:rPr>
          <w:rFonts w:hint="eastAsia"/>
          <w:lang w:val="zh-CN"/>
        </w:rPr>
        <w:t>项目绩效目标。</w:t>
      </w:r>
    </w:p>
    <w:p>
      <w:pPr>
        <w:autoSpaceDE w:val="0"/>
        <w:autoSpaceDN w:val="0"/>
        <w:adjustRightInd w:val="0"/>
        <w:spacing w:line="640" w:lineRule="exact"/>
        <w:jc w:val="left"/>
        <w:rPr>
          <w:lang w:val="zh-CN"/>
        </w:rPr>
      </w:pPr>
      <w:r>
        <w:rPr>
          <w:rFonts w:hint="eastAsia"/>
          <w:lang w:val="zh-CN"/>
        </w:rPr>
        <w:t>（1）环评评估项目：预计2019年建设项目90个，每个项目评估费1.8万元，共需162万元。项目完成后经济效益：服务全市重大项目环评审批，促使项目健康落地；社会效益：规范开展环评审批工作；生态效益：保障生态环境质量。企业对环评工作的满意度达到90%。</w:t>
      </w:r>
    </w:p>
    <w:p>
      <w:pPr>
        <w:autoSpaceDE w:val="0"/>
        <w:autoSpaceDN w:val="0"/>
        <w:adjustRightInd w:val="0"/>
        <w:spacing w:line="640" w:lineRule="exact"/>
        <w:rPr>
          <w:lang w:val="zh-CN"/>
        </w:rPr>
      </w:pPr>
      <w:r>
        <w:rPr>
          <w:rFonts w:hint="eastAsia"/>
          <w:lang w:val="zh-CN"/>
        </w:rPr>
        <w:t>（2）土壤污染防治项目：完成土壤调查共需</w:t>
      </w:r>
      <w:r>
        <w:rPr>
          <w:lang w:val="zh-CN"/>
        </w:rPr>
        <w:t>307.6</w:t>
      </w:r>
      <w:r>
        <w:rPr>
          <w:rFonts w:hint="eastAsia"/>
          <w:lang w:val="zh-CN"/>
        </w:rPr>
        <w:t>万元。项目完成后社会效益：摸清全市土壤污染现状；生态效益：修复污染土壤，保障生态环境质量。社会公众对环境质量满意度达到基本满意。</w:t>
      </w:r>
    </w:p>
    <w:p>
      <w:pPr>
        <w:autoSpaceDE w:val="0"/>
        <w:autoSpaceDN w:val="0"/>
        <w:adjustRightInd w:val="0"/>
        <w:spacing w:line="640" w:lineRule="exact"/>
        <w:jc w:val="left"/>
        <w:rPr>
          <w:lang w:val="zh-CN"/>
        </w:rPr>
      </w:pPr>
      <w:r>
        <w:rPr>
          <w:lang w:val="zh-CN"/>
        </w:rPr>
        <w:t>3．</w:t>
      </w:r>
      <w:r>
        <w:rPr>
          <w:rFonts w:hint="eastAsia"/>
          <w:lang w:val="zh-CN"/>
        </w:rPr>
        <w:t>项目</w:t>
      </w:r>
      <w:r>
        <w:rPr>
          <w:lang w:val="zh-CN"/>
        </w:rPr>
        <w:t>申报内容与实际</w:t>
      </w:r>
      <w:r>
        <w:rPr>
          <w:rFonts w:hint="eastAsia"/>
          <w:lang w:val="zh-CN"/>
        </w:rPr>
        <w:t>工作</w:t>
      </w:r>
      <w:r>
        <w:rPr>
          <w:lang w:val="zh-CN"/>
        </w:rPr>
        <w:t>相符，申报目标合理可行。</w:t>
      </w:r>
    </w:p>
    <w:p>
      <w:pPr>
        <w:autoSpaceDE w:val="0"/>
        <w:autoSpaceDN w:val="0"/>
        <w:adjustRightInd w:val="0"/>
        <w:spacing w:line="640" w:lineRule="exact"/>
        <w:jc w:val="left"/>
        <w:rPr>
          <w:lang w:val="zh-CN"/>
        </w:rPr>
      </w:pPr>
      <w:r>
        <w:rPr>
          <w:lang w:val="zh-CN"/>
        </w:rPr>
        <w:t>（三）项目自评步骤及方法。</w:t>
      </w:r>
    </w:p>
    <w:p>
      <w:pPr>
        <w:autoSpaceDE w:val="0"/>
        <w:autoSpaceDN w:val="0"/>
        <w:adjustRightInd w:val="0"/>
        <w:spacing w:line="640" w:lineRule="exact"/>
        <w:rPr>
          <w:lang w:val="zh-CN"/>
        </w:rPr>
      </w:pPr>
      <w:r>
        <w:rPr>
          <w:rFonts w:hint="eastAsia"/>
          <w:lang w:val="zh-CN"/>
        </w:rPr>
        <w:t>我局收到绩效评价工作通知后，及时转发了文件，提出了具体要求，认真组织相关业务科室开展环保专项资金绩效自评工作，填报自评表，由科技与财务科审核汇总形成自查报告。所有评价以相关资料为基础，经过认真审核和核对，分析得出自评结果，形成自评结论。</w:t>
      </w:r>
    </w:p>
    <w:p>
      <w:pPr>
        <w:autoSpaceDE w:val="0"/>
        <w:autoSpaceDN w:val="0"/>
        <w:adjustRightInd w:val="0"/>
        <w:spacing w:line="640" w:lineRule="exact"/>
        <w:jc w:val="left"/>
        <w:rPr>
          <w:lang w:val="zh-CN"/>
        </w:rPr>
      </w:pPr>
      <w:r>
        <w:rPr>
          <w:lang w:val="zh-CN"/>
        </w:rPr>
        <w:t>二、项目资金申报及使用情况</w:t>
      </w:r>
    </w:p>
    <w:p>
      <w:pPr>
        <w:autoSpaceDE w:val="0"/>
        <w:autoSpaceDN w:val="0"/>
        <w:adjustRightInd w:val="0"/>
        <w:spacing w:line="640" w:lineRule="exact"/>
        <w:jc w:val="left"/>
        <w:rPr>
          <w:lang w:val="zh-CN"/>
        </w:rPr>
      </w:pPr>
      <w:r>
        <w:rPr>
          <w:lang w:val="zh-CN"/>
        </w:rPr>
        <w:t>（一）项目资金申报及批复情况。</w:t>
      </w:r>
    </w:p>
    <w:p>
      <w:pPr>
        <w:autoSpaceDE w:val="0"/>
        <w:autoSpaceDN w:val="0"/>
        <w:adjustRightInd w:val="0"/>
        <w:spacing w:line="640" w:lineRule="exact"/>
        <w:rPr>
          <w:lang w:val="zh-CN"/>
        </w:rPr>
      </w:pPr>
      <w:r>
        <w:rPr>
          <w:rFonts w:hint="eastAsia"/>
          <w:lang w:val="zh-CN"/>
        </w:rPr>
        <w:t>根据《攀枝花市市级环境保护专项资金管理办法》的相关规定，由业务科室提出资金使用计划和方案，经我局审核后会同财政协商同意后，财政下发资金文件。</w:t>
      </w:r>
    </w:p>
    <w:p>
      <w:pPr>
        <w:autoSpaceDE w:val="0"/>
        <w:autoSpaceDN w:val="0"/>
        <w:adjustRightInd w:val="0"/>
        <w:spacing w:line="640" w:lineRule="exact"/>
        <w:jc w:val="left"/>
        <w:rPr>
          <w:lang w:val="zh-CN"/>
        </w:rPr>
      </w:pPr>
      <w:r>
        <w:rPr>
          <w:lang w:val="zh-CN"/>
        </w:rPr>
        <w:t>（二）资金计划、到位及使用情况。</w:t>
      </w:r>
    </w:p>
    <w:p>
      <w:pPr>
        <w:autoSpaceDE w:val="0"/>
        <w:autoSpaceDN w:val="0"/>
        <w:adjustRightInd w:val="0"/>
        <w:spacing w:line="640" w:lineRule="exact"/>
        <w:jc w:val="left"/>
        <w:rPr>
          <w:lang w:val="zh-CN"/>
        </w:rPr>
      </w:pPr>
      <w:r>
        <w:rPr>
          <w:lang w:val="zh-CN"/>
        </w:rPr>
        <w:t>1．资金计划。</w:t>
      </w:r>
    </w:p>
    <w:p>
      <w:pPr>
        <w:autoSpaceDE w:val="0"/>
        <w:autoSpaceDN w:val="0"/>
        <w:adjustRightInd w:val="0"/>
        <w:spacing w:line="640" w:lineRule="exact"/>
        <w:rPr>
          <w:lang w:val="zh-CN"/>
        </w:rPr>
      </w:pPr>
      <w:r>
        <w:rPr>
          <w:rFonts w:hint="eastAsia"/>
          <w:lang w:val="zh-CN"/>
        </w:rPr>
        <w:t>环评评估项目拟申请市级环保专项资金38.5万元，土壤污染防治项目拟申请市级环保专项资金</w:t>
      </w:r>
      <w:r>
        <w:rPr>
          <w:lang w:val="zh-CN"/>
        </w:rPr>
        <w:t>307.6</w:t>
      </w:r>
      <w:r>
        <w:rPr>
          <w:rFonts w:hint="eastAsia"/>
          <w:lang w:val="zh-CN"/>
        </w:rPr>
        <w:t>万元。</w:t>
      </w:r>
    </w:p>
    <w:p>
      <w:pPr>
        <w:autoSpaceDE w:val="0"/>
        <w:autoSpaceDN w:val="0"/>
        <w:adjustRightInd w:val="0"/>
        <w:spacing w:line="640" w:lineRule="exact"/>
        <w:jc w:val="left"/>
        <w:rPr>
          <w:lang w:val="zh-CN"/>
        </w:rPr>
      </w:pPr>
      <w:r>
        <w:rPr>
          <w:lang w:val="zh-CN"/>
        </w:rPr>
        <w:t>2．资金到位。</w:t>
      </w:r>
    </w:p>
    <w:p>
      <w:pPr>
        <w:autoSpaceDE w:val="0"/>
        <w:autoSpaceDN w:val="0"/>
        <w:adjustRightInd w:val="0"/>
        <w:spacing w:line="640" w:lineRule="exact"/>
        <w:rPr>
          <w:lang w:val="zh-CN"/>
        </w:rPr>
      </w:pPr>
      <w:r>
        <w:rPr>
          <w:rFonts w:hint="eastAsia"/>
          <w:lang w:val="zh-CN"/>
        </w:rPr>
        <w:t>环评评估项目实际到位资金38.5万元，土壤污染防治项目资金于</w:t>
      </w:r>
      <w:r>
        <w:rPr>
          <w:lang w:val="zh-CN"/>
        </w:rPr>
        <w:t>2019</w:t>
      </w:r>
      <w:r>
        <w:rPr>
          <w:rFonts w:hint="eastAsia"/>
          <w:lang w:val="zh-CN"/>
        </w:rPr>
        <w:t>年</w:t>
      </w:r>
      <w:r>
        <w:rPr>
          <w:lang w:val="zh-CN"/>
        </w:rPr>
        <w:t>7</w:t>
      </w:r>
      <w:r>
        <w:rPr>
          <w:rFonts w:hint="eastAsia"/>
          <w:lang w:val="zh-CN"/>
        </w:rPr>
        <w:t>月下达，年终决算时资金被收回。</w:t>
      </w:r>
    </w:p>
    <w:p>
      <w:pPr>
        <w:autoSpaceDE w:val="0"/>
        <w:autoSpaceDN w:val="0"/>
        <w:adjustRightInd w:val="0"/>
        <w:spacing w:line="640" w:lineRule="exact"/>
        <w:jc w:val="left"/>
        <w:rPr>
          <w:lang w:val="zh-CN"/>
        </w:rPr>
      </w:pPr>
      <w:r>
        <w:rPr>
          <w:lang w:val="zh-CN"/>
        </w:rPr>
        <w:t>3．资金使用。</w:t>
      </w:r>
    </w:p>
    <w:p>
      <w:pPr>
        <w:autoSpaceDE w:val="0"/>
        <w:autoSpaceDN w:val="0"/>
        <w:adjustRightInd w:val="0"/>
        <w:spacing w:line="640" w:lineRule="exact"/>
        <w:jc w:val="left"/>
        <w:rPr>
          <w:lang w:val="zh-CN"/>
        </w:rPr>
      </w:pPr>
      <w:r>
        <w:rPr>
          <w:rFonts w:hint="eastAsia"/>
          <w:lang w:val="zh-CN"/>
        </w:rPr>
        <w:t>环评评估项目实际使用资金38.5万元，用于支付委托第三方建设项目环评报告评估费。土壤污染防治项目资金未使用。</w:t>
      </w:r>
    </w:p>
    <w:p>
      <w:pPr>
        <w:autoSpaceDE w:val="0"/>
        <w:autoSpaceDN w:val="0"/>
        <w:adjustRightInd w:val="0"/>
        <w:spacing w:line="640" w:lineRule="exact"/>
        <w:jc w:val="left"/>
        <w:rPr>
          <w:lang w:val="zh-CN"/>
        </w:rPr>
      </w:pPr>
      <w:r>
        <w:rPr>
          <w:lang w:val="zh-CN"/>
        </w:rPr>
        <w:t>（三）项目财务管理情况。</w:t>
      </w:r>
    </w:p>
    <w:p>
      <w:pPr>
        <w:autoSpaceDE w:val="0"/>
        <w:autoSpaceDN w:val="0"/>
        <w:adjustRightInd w:val="0"/>
        <w:spacing w:line="640" w:lineRule="exact"/>
        <w:rPr>
          <w:lang w:val="zh-CN"/>
        </w:rPr>
      </w:pPr>
      <w:r>
        <w:rPr>
          <w:rFonts w:hint="eastAsia"/>
          <w:lang w:val="zh-CN"/>
        </w:rPr>
        <w:t>该项目资金严格按照各我单位财务管理制度和《攀枝花市市级环境保护专项资金管理办法》的要求进行会计核算，财务管理制度健全，账务处理及时，会计核算合乎规范，资金使用与具体项目实施内容相符。</w:t>
      </w:r>
    </w:p>
    <w:p>
      <w:pPr>
        <w:autoSpaceDE w:val="0"/>
        <w:autoSpaceDN w:val="0"/>
        <w:adjustRightInd w:val="0"/>
        <w:spacing w:line="640" w:lineRule="exact"/>
        <w:jc w:val="left"/>
        <w:rPr>
          <w:lang w:val="zh-CN"/>
        </w:rPr>
      </w:pPr>
      <w:r>
        <w:rPr>
          <w:lang w:val="zh-CN"/>
        </w:rPr>
        <w:t>三、项目实施及管理情况</w:t>
      </w:r>
    </w:p>
    <w:p>
      <w:pPr>
        <w:autoSpaceDE w:val="0"/>
        <w:autoSpaceDN w:val="0"/>
        <w:adjustRightInd w:val="0"/>
        <w:spacing w:line="640" w:lineRule="exact"/>
        <w:jc w:val="left"/>
        <w:rPr>
          <w:lang w:val="zh-CN"/>
        </w:rPr>
      </w:pPr>
      <w:r>
        <w:rPr>
          <w:lang w:val="zh-CN"/>
        </w:rPr>
        <w:t>（一）项目组织架构及实施流程。</w:t>
      </w:r>
    </w:p>
    <w:p>
      <w:pPr>
        <w:autoSpaceDE w:val="0"/>
        <w:autoSpaceDN w:val="0"/>
        <w:adjustRightInd w:val="0"/>
        <w:spacing w:line="640" w:lineRule="exact"/>
        <w:jc w:val="left"/>
        <w:rPr>
          <w:lang w:val="zh-CN"/>
        </w:rPr>
      </w:pPr>
      <w:r>
        <w:rPr>
          <w:rFonts w:hint="eastAsia"/>
          <w:lang w:val="zh-CN"/>
        </w:rPr>
        <w:t>两个项目均为政府购买服务项目，由相关业务科室提出政府采购预算，经财政审核批复后按照政府采购管理办法和流程组织实施。</w:t>
      </w:r>
    </w:p>
    <w:p>
      <w:pPr>
        <w:autoSpaceDE w:val="0"/>
        <w:autoSpaceDN w:val="0"/>
        <w:adjustRightInd w:val="0"/>
        <w:spacing w:line="640" w:lineRule="exact"/>
        <w:jc w:val="left"/>
        <w:rPr>
          <w:lang w:val="zh-CN"/>
        </w:rPr>
      </w:pPr>
      <w:r>
        <w:rPr>
          <w:lang w:val="zh-CN"/>
        </w:rPr>
        <w:t>（二）项目管理情况。</w:t>
      </w:r>
    </w:p>
    <w:p>
      <w:pPr>
        <w:autoSpaceDE w:val="0"/>
        <w:autoSpaceDN w:val="0"/>
        <w:adjustRightInd w:val="0"/>
        <w:spacing w:line="640" w:lineRule="exact"/>
        <w:jc w:val="left"/>
        <w:rPr>
          <w:lang w:val="zh-CN"/>
        </w:rPr>
      </w:pPr>
      <w:r>
        <w:rPr>
          <w:rFonts w:hint="eastAsia"/>
          <w:lang w:val="zh-CN"/>
        </w:rPr>
        <w:t>项目由业务科室负责实施，按照公开招标的方式采购第三方社会机构，对建设项目环评报告进行评估。</w:t>
      </w:r>
    </w:p>
    <w:p>
      <w:pPr>
        <w:autoSpaceDE w:val="0"/>
        <w:autoSpaceDN w:val="0"/>
        <w:adjustRightInd w:val="0"/>
        <w:spacing w:line="640" w:lineRule="exact"/>
        <w:jc w:val="left"/>
        <w:rPr>
          <w:lang w:val="zh-CN"/>
        </w:rPr>
      </w:pPr>
      <w:r>
        <w:rPr>
          <w:lang w:val="zh-CN"/>
        </w:rPr>
        <w:t>（三）项目监管情况。</w:t>
      </w:r>
    </w:p>
    <w:p>
      <w:pPr>
        <w:autoSpaceDE w:val="0"/>
        <w:autoSpaceDN w:val="0"/>
        <w:adjustRightInd w:val="0"/>
        <w:spacing w:line="640" w:lineRule="exact"/>
        <w:jc w:val="left"/>
        <w:rPr>
          <w:lang w:val="zh-CN"/>
        </w:rPr>
      </w:pPr>
      <w:r>
        <w:rPr>
          <w:rFonts w:hint="eastAsia"/>
          <w:lang w:val="zh-CN"/>
        </w:rPr>
        <w:t>局纪检监察组对专项资金的安排、使用中各科室履职情况，项目实施中各科室履职情况进行监督检查。</w:t>
      </w:r>
    </w:p>
    <w:p>
      <w:pPr>
        <w:autoSpaceDE w:val="0"/>
        <w:autoSpaceDN w:val="0"/>
        <w:adjustRightInd w:val="0"/>
        <w:spacing w:line="640" w:lineRule="exact"/>
        <w:jc w:val="left"/>
        <w:rPr>
          <w:lang w:val="zh-CN"/>
        </w:rPr>
      </w:pPr>
      <w:r>
        <w:rPr>
          <w:lang w:val="zh-CN"/>
        </w:rPr>
        <w:t>四、项目绩效情况</w:t>
      </w:r>
    </w:p>
    <w:p>
      <w:pPr>
        <w:autoSpaceDE w:val="0"/>
        <w:autoSpaceDN w:val="0"/>
        <w:adjustRightInd w:val="0"/>
        <w:spacing w:line="640" w:lineRule="exact"/>
        <w:jc w:val="left"/>
        <w:rPr>
          <w:lang w:val="zh-CN"/>
        </w:rPr>
      </w:pPr>
      <w:r>
        <w:rPr>
          <w:lang w:val="zh-CN"/>
        </w:rPr>
        <w:t>（一）项目完成情况。</w:t>
      </w:r>
    </w:p>
    <w:p>
      <w:pPr>
        <w:autoSpaceDE w:val="0"/>
        <w:autoSpaceDN w:val="0"/>
        <w:adjustRightInd w:val="0"/>
        <w:spacing w:line="640" w:lineRule="exact"/>
        <w:jc w:val="left"/>
        <w:rPr>
          <w:lang w:val="zh-CN"/>
        </w:rPr>
      </w:pPr>
      <w:r>
        <w:rPr>
          <w:rFonts w:hint="eastAsia"/>
          <w:lang w:val="zh-CN"/>
        </w:rPr>
        <w:t xml:space="preserve">环评评估项目申报2019年建设项目环评评估90个，实际完成66个建设项目审批，实际支付项目环评评估费38.5万元。              </w:t>
      </w:r>
    </w:p>
    <w:p>
      <w:pPr>
        <w:autoSpaceDE w:val="0"/>
        <w:autoSpaceDN w:val="0"/>
        <w:adjustRightInd w:val="0"/>
        <w:spacing w:line="640" w:lineRule="exact"/>
        <w:jc w:val="left"/>
        <w:rPr>
          <w:lang w:val="zh-CN"/>
        </w:rPr>
      </w:pPr>
      <w:r>
        <w:rPr>
          <w:rFonts w:hint="eastAsia"/>
          <w:lang w:val="zh-CN"/>
        </w:rPr>
        <w:t>土壤污染防治项目完成：攀枝花市重点行业企业用地调查基础信息采集（第二批）市级质量控制服务，审核点位</w:t>
      </w:r>
      <w:r>
        <w:rPr>
          <w:lang w:val="zh-CN"/>
        </w:rPr>
        <w:t>106</w:t>
      </w:r>
      <w:r>
        <w:rPr>
          <w:rFonts w:hint="eastAsia"/>
          <w:lang w:val="zh-CN"/>
        </w:rPr>
        <w:t>个；攀枝花市重点行业企业用地调查基础信息采集服务点位</w:t>
      </w:r>
      <w:r>
        <w:rPr>
          <w:lang w:val="zh-CN"/>
        </w:rPr>
        <w:t>58</w:t>
      </w:r>
      <w:r>
        <w:rPr>
          <w:rFonts w:hint="eastAsia"/>
          <w:lang w:val="zh-CN"/>
        </w:rPr>
        <w:t>个；新增攀枝花市重点行业企业用地调查基础信息采集服务点位</w:t>
      </w:r>
      <w:r>
        <w:rPr>
          <w:lang w:val="zh-CN"/>
        </w:rPr>
        <w:t>46</w:t>
      </w:r>
      <w:r>
        <w:rPr>
          <w:rFonts w:hint="eastAsia"/>
          <w:lang w:val="zh-CN"/>
        </w:rPr>
        <w:t>个；攀枝花市重点区域土壤污染状况评估，</w:t>
      </w:r>
      <w:r>
        <w:rPr>
          <w:lang w:val="zh-CN"/>
        </w:rPr>
        <w:t>4</w:t>
      </w:r>
      <w:r>
        <w:rPr>
          <w:rFonts w:hint="eastAsia"/>
          <w:lang w:val="zh-CN"/>
        </w:rPr>
        <w:t>个饮用水源地土壤污染状况评估；攀枝花市重点行业企业用地调查布点方案编制</w:t>
      </w:r>
      <w:r>
        <w:rPr>
          <w:lang w:val="zh-CN"/>
        </w:rPr>
        <w:t>80</w:t>
      </w:r>
      <w:r>
        <w:rPr>
          <w:rFonts w:hint="eastAsia"/>
          <w:lang w:val="zh-CN"/>
        </w:rPr>
        <w:t>个点位；攀枝花市重点行业企业用地信息采集省级质控风险筛查纠偏及布点审核点位</w:t>
      </w:r>
      <w:r>
        <w:rPr>
          <w:lang w:val="zh-CN"/>
        </w:rPr>
        <w:t>397</w:t>
      </w:r>
      <w:r>
        <w:rPr>
          <w:rFonts w:hint="eastAsia"/>
          <w:lang w:val="zh-CN"/>
        </w:rPr>
        <w:t>个。</w:t>
      </w:r>
    </w:p>
    <w:p>
      <w:pPr>
        <w:autoSpaceDE w:val="0"/>
        <w:autoSpaceDN w:val="0"/>
        <w:adjustRightInd w:val="0"/>
        <w:spacing w:line="640" w:lineRule="exact"/>
        <w:jc w:val="left"/>
        <w:rPr>
          <w:lang w:val="zh-CN"/>
        </w:rPr>
      </w:pPr>
      <w:r>
        <w:rPr>
          <w:lang w:val="zh-CN"/>
        </w:rPr>
        <w:t>（二）项目效益情况。</w:t>
      </w:r>
    </w:p>
    <w:p>
      <w:pPr>
        <w:autoSpaceDE w:val="0"/>
        <w:autoSpaceDN w:val="0"/>
        <w:adjustRightInd w:val="0"/>
        <w:spacing w:line="640" w:lineRule="exact"/>
        <w:jc w:val="left"/>
        <w:rPr>
          <w:lang w:val="zh-CN"/>
        </w:rPr>
      </w:pPr>
      <w:r>
        <w:rPr>
          <w:rFonts w:hint="eastAsia"/>
          <w:lang w:val="zh-CN"/>
        </w:rPr>
        <w:t>环评评估项目的实施，完成了建设项目审批80%以上，服务了全市重大项目环评审批，促使项目健康落地。通过严格按照环评及批复要求落实各项环保设施、措施，保障了生态环境质量持续向好，达到企业和群众基本满意。</w:t>
      </w:r>
    </w:p>
    <w:p>
      <w:pPr>
        <w:autoSpaceDE w:val="0"/>
        <w:autoSpaceDN w:val="0"/>
        <w:adjustRightInd w:val="0"/>
        <w:spacing w:line="640" w:lineRule="exact"/>
        <w:rPr>
          <w:lang w:val="zh-CN"/>
        </w:rPr>
      </w:pPr>
      <w:r>
        <w:rPr>
          <w:rFonts w:hint="eastAsia"/>
          <w:lang w:val="zh-CN"/>
        </w:rPr>
        <w:t>土壤污染防治项目的实施，摸清了全市土壤污染现状，为打赢净土保卫战，保障生态环境质量奠定了基础，达到群众基本满意。</w:t>
      </w:r>
    </w:p>
    <w:p>
      <w:pPr>
        <w:autoSpaceDE w:val="0"/>
        <w:autoSpaceDN w:val="0"/>
        <w:adjustRightInd w:val="0"/>
        <w:spacing w:line="640" w:lineRule="exact"/>
        <w:jc w:val="left"/>
        <w:rPr>
          <w:lang w:val="zh-CN"/>
        </w:rPr>
      </w:pPr>
      <w:r>
        <w:rPr>
          <w:lang w:val="zh-CN"/>
        </w:rPr>
        <w:t>五、评价结论及建议</w:t>
      </w:r>
    </w:p>
    <w:p>
      <w:pPr>
        <w:autoSpaceDE w:val="0"/>
        <w:autoSpaceDN w:val="0"/>
        <w:adjustRightInd w:val="0"/>
        <w:spacing w:line="640" w:lineRule="exact"/>
        <w:jc w:val="left"/>
        <w:rPr>
          <w:lang w:val="zh-CN"/>
        </w:rPr>
      </w:pPr>
      <w:r>
        <w:rPr>
          <w:lang w:val="zh-CN"/>
        </w:rPr>
        <w:t>（一）评价结论。</w:t>
      </w:r>
    </w:p>
    <w:p>
      <w:pPr>
        <w:autoSpaceDE w:val="0"/>
        <w:autoSpaceDN w:val="0"/>
        <w:adjustRightInd w:val="0"/>
        <w:spacing w:line="640" w:lineRule="exact"/>
        <w:rPr>
          <w:lang w:val="zh-CN"/>
        </w:rPr>
      </w:pPr>
      <w:r>
        <w:rPr>
          <w:rFonts w:hint="eastAsia"/>
          <w:lang w:val="zh-CN"/>
        </w:rPr>
        <w:t>所实施项目决策立项符合资金管理相关规定，采购流程手续完备，实施管理规范。我局能对环保补助资金专款专用，规范开支，杜绝资金漏洞，提高了环保资金利用效率，项目实施后达到了预期的环境和社会效益。</w:t>
      </w:r>
    </w:p>
    <w:p>
      <w:pPr>
        <w:autoSpaceDE w:val="0"/>
        <w:autoSpaceDN w:val="0"/>
        <w:adjustRightInd w:val="0"/>
        <w:spacing w:line="640" w:lineRule="exact"/>
        <w:jc w:val="left"/>
        <w:rPr>
          <w:lang w:val="zh-CN"/>
        </w:rPr>
      </w:pPr>
      <w:r>
        <w:rPr>
          <w:lang w:val="zh-CN"/>
        </w:rPr>
        <w:t>（二）存在的问题。</w:t>
      </w:r>
    </w:p>
    <w:p>
      <w:pPr>
        <w:autoSpaceDE w:val="0"/>
        <w:autoSpaceDN w:val="0"/>
        <w:adjustRightInd w:val="0"/>
        <w:spacing w:line="640" w:lineRule="exact"/>
        <w:jc w:val="left"/>
        <w:rPr>
          <w:lang w:val="zh-CN"/>
        </w:rPr>
      </w:pPr>
      <w:r>
        <w:rPr>
          <w:rFonts w:hint="eastAsia"/>
          <w:lang w:val="zh-CN"/>
        </w:rPr>
        <w:t>项目实施规模和安排资金量不匹配，造成项目已完成，费用无法支付。</w:t>
      </w:r>
    </w:p>
    <w:p>
      <w:pPr>
        <w:autoSpaceDE w:val="0"/>
        <w:autoSpaceDN w:val="0"/>
        <w:adjustRightInd w:val="0"/>
        <w:spacing w:line="640" w:lineRule="exact"/>
        <w:jc w:val="left"/>
        <w:rPr>
          <w:lang w:val="zh-CN"/>
        </w:rPr>
      </w:pPr>
      <w:r>
        <w:rPr>
          <w:lang w:val="zh-CN"/>
        </w:rPr>
        <w:t>（三）相关建议。</w:t>
      </w:r>
    </w:p>
    <w:p>
      <w:pPr>
        <w:autoSpaceDE w:val="0"/>
        <w:autoSpaceDN w:val="0"/>
        <w:adjustRightInd w:val="0"/>
        <w:spacing w:line="640" w:lineRule="exact"/>
        <w:jc w:val="left"/>
        <w:rPr>
          <w:lang w:val="zh-CN"/>
        </w:rPr>
      </w:pPr>
      <w:r>
        <w:rPr>
          <w:rFonts w:hint="eastAsia"/>
          <w:lang w:val="zh-CN"/>
        </w:rPr>
        <w:t>加强对实施效果好的项目的资金支出力度</w:t>
      </w:r>
      <w:r>
        <w:rPr>
          <w:lang w:val="zh-CN"/>
        </w:rPr>
        <w:t>。</w:t>
      </w:r>
    </w:p>
    <w:p>
      <w:pPr>
        <w:spacing w:line="640" w:lineRule="exact"/>
        <w:rPr>
          <w:lang w:val="zh-CN"/>
        </w:rPr>
      </w:pPr>
    </w:p>
    <w:p>
      <w:pPr>
        <w:spacing w:line="640" w:lineRule="exact"/>
        <w:rPr>
          <w:lang w:val="zh-CN"/>
        </w:rPr>
      </w:pPr>
    </w:p>
    <w:p>
      <w:pPr>
        <w:spacing w:line="640" w:lineRule="exact"/>
        <w:rPr>
          <w:lang w:val="zh-CN"/>
        </w:rPr>
      </w:pPr>
    </w:p>
    <w:p>
      <w:pPr>
        <w:spacing w:line="640" w:lineRule="exact"/>
        <w:rPr>
          <w:lang w:val="zh-CN"/>
        </w:rPr>
      </w:pPr>
    </w:p>
    <w:p>
      <w:pPr>
        <w:spacing w:line="640" w:lineRule="exact"/>
        <w:rPr>
          <w:lang w:val="zh-CN"/>
        </w:rPr>
      </w:pPr>
    </w:p>
    <w:p>
      <w:pPr>
        <w:spacing w:line="640" w:lineRule="exact"/>
        <w:rPr>
          <w:lang w:val="zh-CN"/>
        </w:rPr>
      </w:pPr>
    </w:p>
    <w:p>
      <w:pPr>
        <w:spacing w:line="640" w:lineRule="exact"/>
        <w:rPr>
          <w:lang w:val="zh-CN"/>
        </w:rPr>
      </w:pPr>
    </w:p>
    <w:p>
      <w:pPr>
        <w:spacing w:line="640" w:lineRule="exact"/>
        <w:rPr>
          <w:lang w:val="zh-CN"/>
        </w:rPr>
      </w:pPr>
    </w:p>
    <w:p>
      <w:pPr>
        <w:spacing w:line="640" w:lineRule="exact"/>
        <w:rPr>
          <w:lang w:val="zh-CN"/>
        </w:rPr>
      </w:pPr>
    </w:p>
    <w:p>
      <w:pPr>
        <w:spacing w:line="640" w:lineRule="exact"/>
        <w:rPr>
          <w:lang w:val="zh-CN"/>
        </w:rPr>
      </w:pPr>
    </w:p>
    <w:p>
      <w:pPr>
        <w:spacing w:line="640" w:lineRule="exact"/>
        <w:rPr>
          <w:lang w:val="zh-CN"/>
        </w:rPr>
      </w:pPr>
    </w:p>
    <w:p>
      <w:pPr>
        <w:spacing w:line="640" w:lineRule="exact"/>
        <w:rPr>
          <w:rStyle w:val="1Char"/>
          <w:rFonts w:ascii="黑体" w:eastAsia="黑体"/>
          <w:b w:val="0"/>
        </w:rPr>
      </w:pPr>
    </w:p>
    <w:p>
      <w:pPr>
        <w:spacing w:line="640" w:lineRule="exact"/>
        <w:rPr>
          <w:rStyle w:val="1Char"/>
          <w:rFonts w:ascii="黑体" w:eastAsia="黑体"/>
          <w:b w:val="0"/>
        </w:rPr>
      </w:pPr>
    </w:p>
    <w:p>
      <w:pPr>
        <w:spacing w:line="640" w:lineRule="exact"/>
        <w:rPr>
          <w:rStyle w:val="1Char"/>
          <w:rFonts w:ascii="黑体" w:eastAsia="黑体"/>
          <w:b w:val="0"/>
        </w:rPr>
      </w:pPr>
    </w:p>
    <w:p>
      <w:pPr>
        <w:spacing w:line="640" w:lineRule="exact"/>
        <w:rPr>
          <w:rStyle w:val="1Char"/>
          <w:rFonts w:ascii="黑体" w:eastAsia="黑体"/>
          <w:b w:val="0"/>
        </w:rPr>
      </w:pPr>
    </w:p>
    <w:p>
      <w:pPr>
        <w:spacing w:line="640" w:lineRule="exact"/>
        <w:rPr>
          <w:rStyle w:val="1Char"/>
          <w:rFonts w:ascii="黑体" w:eastAsia="黑体"/>
          <w:b w:val="0"/>
        </w:rPr>
      </w:pPr>
    </w:p>
    <w:p>
      <w:pPr>
        <w:spacing w:line="640" w:lineRule="exact"/>
        <w:rPr>
          <w:rStyle w:val="1Char"/>
          <w:rFonts w:ascii="黑体" w:eastAsia="黑体"/>
          <w:b w:val="0"/>
        </w:rPr>
      </w:pPr>
    </w:p>
    <w:p>
      <w:pPr>
        <w:spacing w:line="640" w:lineRule="exact"/>
        <w:rPr>
          <w:rStyle w:val="1Char"/>
          <w:rFonts w:ascii="黑体" w:eastAsia="黑体"/>
          <w:b w:val="0"/>
        </w:rPr>
      </w:pPr>
    </w:p>
    <w:p>
      <w:pPr>
        <w:rPr>
          <w:rStyle w:val="1Char"/>
          <w:rFonts w:ascii="黑体" w:eastAsia="黑体"/>
          <w:b w:val="0"/>
        </w:rPr>
      </w:pPr>
      <w:bookmarkStart w:id="64" w:name="_Toc15396618"/>
      <w:r>
        <w:rPr>
          <w:rStyle w:val="1Char"/>
          <w:rFonts w:ascii="黑体" w:eastAsia="黑体" w:hint="eastAsia"/>
          <w:b w:val="0"/>
        </w:rPr>
        <w:t>第五部分 附表</w:t>
      </w:r>
      <w:bookmarkEnd w:id="62"/>
      <w:bookmarkEnd w:id="64"/>
    </w:p>
    <w:p/>
    <w:p>
      <w:pPr>
        <w:pStyle w:val="2"/>
      </w:pPr>
      <w:bookmarkStart w:id="65" w:name="_Toc15396619"/>
      <w:r>
        <w:rPr>
          <w:rStyle w:val="2Char"/>
          <w:rFonts w:ascii="仿宋" w:eastAsia="仿宋" w:hint="eastAsia"/>
          <w:b w:val="0"/>
          <w:bCs w:val="0"/>
        </w:rPr>
        <w:t>一、收入支出决算总表</w:t>
      </w:r>
      <w:bookmarkEnd w:id="65"/>
    </w:p>
    <w:p>
      <w:pPr>
        <w:pStyle w:val="2"/>
        <w:rPr>
          <w:rStyle w:val="2Char"/>
          <w:rFonts w:ascii="仿宋" w:eastAsia="仿宋"/>
          <w:b w:val="0"/>
          <w:bCs w:val="0"/>
        </w:rPr>
      </w:pPr>
      <w:bookmarkStart w:id="66" w:name="_Toc15396620"/>
      <w:r>
        <w:rPr>
          <w:rStyle w:val="2Char"/>
          <w:rFonts w:ascii="仿宋" w:eastAsia="仿宋" w:hint="eastAsia"/>
          <w:b w:val="0"/>
          <w:bCs w:val="0"/>
        </w:rPr>
        <w:t>二、收入决算表</w:t>
      </w:r>
      <w:bookmarkEnd w:id="66"/>
    </w:p>
    <w:p>
      <w:pPr>
        <w:pStyle w:val="2"/>
        <w:rPr>
          <w:rStyle w:val="2Char"/>
          <w:rFonts w:ascii="仿宋" w:eastAsia="仿宋"/>
          <w:b w:val="0"/>
          <w:bCs w:val="0"/>
        </w:rPr>
      </w:pPr>
      <w:bookmarkStart w:id="67" w:name="_Toc15396621"/>
      <w:r>
        <w:rPr>
          <w:rStyle w:val="2Char"/>
          <w:rFonts w:ascii="仿宋" w:eastAsia="仿宋" w:hint="eastAsia"/>
          <w:b w:val="0"/>
          <w:bCs w:val="0"/>
        </w:rPr>
        <w:t>三、支出决算表</w:t>
      </w:r>
      <w:bookmarkEnd w:id="67"/>
    </w:p>
    <w:p>
      <w:pPr>
        <w:pStyle w:val="2"/>
        <w:rPr>
          <w:rStyle w:val="2Char"/>
          <w:rFonts w:ascii="仿宋" w:eastAsia="仿宋"/>
          <w:b w:val="0"/>
          <w:bCs w:val="0"/>
        </w:rPr>
      </w:pPr>
      <w:bookmarkStart w:id="68" w:name="_Toc15396622"/>
      <w:r>
        <w:rPr>
          <w:rStyle w:val="2Char"/>
          <w:rFonts w:ascii="仿宋" w:eastAsia="仿宋" w:hint="eastAsia"/>
          <w:b w:val="0"/>
          <w:bCs w:val="0"/>
        </w:rPr>
        <w:t>四、财政拨款收入支出决算总表</w:t>
      </w:r>
      <w:bookmarkEnd w:id="68"/>
    </w:p>
    <w:p>
      <w:pPr>
        <w:pStyle w:val="2"/>
        <w:rPr>
          <w:rStyle w:val="2Char"/>
          <w:rFonts w:ascii="仿宋" w:eastAsia="仿宋"/>
          <w:b w:val="0"/>
          <w:bCs w:val="0"/>
        </w:rPr>
      </w:pPr>
      <w:bookmarkStart w:id="69" w:name="_Toc15396623"/>
      <w:r>
        <w:rPr>
          <w:rStyle w:val="2Char"/>
          <w:rFonts w:ascii="仿宋" w:eastAsia="仿宋" w:hint="eastAsia"/>
          <w:b w:val="0"/>
          <w:bCs w:val="0"/>
        </w:rPr>
        <w:t>五、财政拨款支出决算明细表</w:t>
      </w:r>
      <w:bookmarkStart w:id="70" w:name="_Toc15396624"/>
      <w:bookmarkEnd w:id="69"/>
    </w:p>
    <w:p>
      <w:pPr>
        <w:pStyle w:val="2"/>
        <w:rPr>
          <w:rStyle w:val="2Char"/>
          <w:rFonts w:ascii="仿宋" w:eastAsia="仿宋"/>
          <w:b w:val="0"/>
          <w:bCs w:val="0"/>
        </w:rPr>
      </w:pPr>
      <w:r>
        <w:rPr>
          <w:rStyle w:val="2Char"/>
          <w:rFonts w:ascii="仿宋" w:eastAsia="仿宋" w:hint="eastAsia"/>
          <w:b w:val="0"/>
          <w:bCs w:val="0"/>
        </w:rPr>
        <w:t>六、一般公共预算财政拨款支出决算表</w:t>
      </w:r>
      <w:bookmarkEnd w:id="70"/>
    </w:p>
    <w:p>
      <w:pPr>
        <w:pStyle w:val="2"/>
        <w:rPr>
          <w:rStyle w:val="2Char"/>
          <w:rFonts w:ascii="仿宋" w:eastAsia="仿宋"/>
          <w:b w:val="0"/>
          <w:bCs w:val="0"/>
        </w:rPr>
      </w:pPr>
      <w:bookmarkStart w:id="71" w:name="_Toc15396625"/>
      <w:r>
        <w:rPr>
          <w:rStyle w:val="2Char"/>
          <w:rFonts w:ascii="仿宋" w:eastAsia="仿宋" w:hint="eastAsia"/>
          <w:b w:val="0"/>
          <w:bCs w:val="0"/>
        </w:rPr>
        <w:t>七、一般公共预算财政拨款支出决算明细表</w:t>
      </w:r>
      <w:bookmarkEnd w:id="71"/>
    </w:p>
    <w:p>
      <w:pPr>
        <w:pStyle w:val="2"/>
        <w:rPr>
          <w:rStyle w:val="2Char"/>
          <w:rFonts w:ascii="仿宋" w:eastAsia="仿宋"/>
          <w:b w:val="0"/>
          <w:bCs w:val="0"/>
        </w:rPr>
      </w:pPr>
      <w:bookmarkStart w:id="72" w:name="_Toc15396626"/>
      <w:r>
        <w:rPr>
          <w:rStyle w:val="2Char"/>
          <w:rFonts w:ascii="仿宋" w:eastAsia="仿宋" w:hint="eastAsia"/>
          <w:b w:val="0"/>
          <w:bCs w:val="0"/>
        </w:rPr>
        <w:t>八、一般公共预算财政拨款基本支出决算表</w:t>
      </w:r>
      <w:bookmarkEnd w:id="72"/>
    </w:p>
    <w:p>
      <w:pPr>
        <w:pStyle w:val="2"/>
        <w:rPr>
          <w:rStyle w:val="2Char"/>
          <w:rFonts w:ascii="仿宋" w:eastAsia="仿宋"/>
          <w:b w:val="0"/>
          <w:bCs w:val="0"/>
        </w:rPr>
      </w:pPr>
      <w:bookmarkStart w:id="73" w:name="_Toc15396627"/>
      <w:r>
        <w:rPr>
          <w:rStyle w:val="2Char"/>
          <w:rFonts w:ascii="仿宋" w:eastAsia="仿宋" w:hint="eastAsia"/>
          <w:b w:val="0"/>
          <w:bCs w:val="0"/>
        </w:rPr>
        <w:t>九、一般公共预算财政拨款项目支出决算表</w:t>
      </w:r>
      <w:bookmarkEnd w:id="73"/>
    </w:p>
    <w:p>
      <w:pPr>
        <w:pStyle w:val="2"/>
        <w:rPr>
          <w:rStyle w:val="2Char"/>
          <w:rFonts w:ascii="仿宋" w:eastAsia="仿宋"/>
          <w:b w:val="0"/>
          <w:bCs w:val="0"/>
        </w:rPr>
      </w:pPr>
      <w:bookmarkStart w:id="74" w:name="_Toc15396628"/>
      <w:r>
        <w:rPr>
          <w:rStyle w:val="2Char"/>
          <w:rFonts w:ascii="仿宋" w:eastAsia="仿宋" w:hint="eastAsia"/>
          <w:b w:val="0"/>
          <w:bCs w:val="0"/>
        </w:rPr>
        <w:t>十、一般公共预算财政拨款“三公”经费支出决算表</w:t>
      </w:r>
      <w:bookmarkEnd w:id="74"/>
    </w:p>
    <w:p>
      <w:pPr>
        <w:pStyle w:val="2"/>
        <w:rPr>
          <w:rStyle w:val="2Char"/>
          <w:rFonts w:ascii="仿宋" w:eastAsia="仿宋"/>
          <w:b w:val="0"/>
          <w:bCs w:val="0"/>
        </w:rPr>
      </w:pPr>
      <w:bookmarkStart w:id="75" w:name="_Toc15396629"/>
      <w:r>
        <w:rPr>
          <w:rStyle w:val="2Char"/>
          <w:rFonts w:ascii="仿宋" w:eastAsia="仿宋" w:hint="eastAsia"/>
          <w:b w:val="0"/>
          <w:bCs w:val="0"/>
        </w:rPr>
        <w:t>十一、政府性基金预算财政拨款收入支出决算表</w:t>
      </w:r>
      <w:bookmarkEnd w:id="75"/>
    </w:p>
    <w:p>
      <w:pPr>
        <w:pStyle w:val="2"/>
        <w:rPr>
          <w:rStyle w:val="2Char"/>
          <w:rFonts w:ascii="仿宋" w:eastAsia="仿宋"/>
          <w:b w:val="0"/>
          <w:bCs w:val="0"/>
        </w:rPr>
      </w:pPr>
      <w:bookmarkStart w:id="76" w:name="_Toc15396630"/>
      <w:r>
        <w:rPr>
          <w:rStyle w:val="2Char"/>
          <w:rFonts w:ascii="仿宋" w:eastAsia="仿宋" w:hint="eastAsia"/>
          <w:b w:val="0"/>
          <w:bCs w:val="0"/>
        </w:rPr>
        <w:t>十二、政府性基金预算财政拨款“三公”经费支出决算表</w:t>
      </w:r>
      <w:bookmarkEnd w:id="76"/>
      <w:r>
        <w:rPr>
          <w:rStyle w:val="2Char"/>
          <w:rFonts w:ascii="仿宋" w:eastAsia="仿宋" w:hint="eastAsia"/>
          <w:b w:val="0"/>
          <w:bCs w:val="0"/>
        </w:rPr>
        <w:t>（无数据）</w:t>
      </w:r>
    </w:p>
    <w:p>
      <w:pPr>
        <w:pStyle w:val="2"/>
        <w:rPr>
          <w:rStyle w:val="2Char"/>
          <w:rFonts w:ascii="仿宋" w:eastAsia="仿宋"/>
          <w:b w:val="0"/>
          <w:bCs w:val="0"/>
        </w:rPr>
      </w:pPr>
      <w:bookmarkStart w:id="77" w:name="_Toc15396631"/>
      <w:r>
        <w:rPr>
          <w:rStyle w:val="2Char"/>
          <w:rFonts w:ascii="仿宋" w:eastAsia="仿宋" w:hint="eastAsia"/>
          <w:b w:val="0"/>
          <w:bCs w:val="0"/>
        </w:rPr>
        <w:t>十三、国有资本经营预算支出决算表</w:t>
      </w:r>
      <w:bookmarkEnd w:id="77"/>
      <w:r>
        <w:rPr>
          <w:rStyle w:val="2Char"/>
          <w:rFonts w:ascii="仿宋" w:eastAsia="仿宋" w:hint="eastAsia"/>
          <w:b w:val="0"/>
          <w:bCs w:val="0"/>
        </w:rPr>
        <w:t>（无数据）</w:t>
      </w:r>
    </w:p>
    <w:sectPr>
      <w:footerReference w:type="default" r:id="rId2"/>
      <w:pgSz w:w="11906" w:h="16838"/>
      <w:pgMar w:top="1440" w:right="1800" w:bottom="1440" w:left="1800"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简体">
    <w:altName w:val="黑体"/>
    <w:panose1 w:val="02010601030101010101"/>
    <w:charset w:val="86"/>
    <w:family w:val="script"/>
    <w:pitch w:val="variable"/>
    <w:sig w:usb0="00000000" w:usb1="00000000" w:usb2="00000010" w:usb3="00000000" w:csb0="00040000" w:csb1="00000000"/>
  </w:font>
  <w:font w:name="Arial">
    <w:altName w:val="DejaVu Sans"/>
    <w:panose1 w:val="020B0604020202020204"/>
    <w:charset w:val="01"/>
    <w:family w:val="swiss"/>
    <w:pitch w:val="variable"/>
    <w:sig w:usb0="E0002EFF" w:usb1="C000785B" w:usb2="00000009" w:usb3="00000000" w:csb0="400001FF" w:csb1="FFFF0000"/>
  </w:font>
  <w:font w:name="仿宋">
    <w:panose1 w:val="02010609060101010101"/>
    <w:charset w:val="86"/>
    <w:family w:val="modern"/>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variable"/>
    <w:sig w:usb0="00000003" w:usb1="288F0000" w:usb2="00000006" w:usb3="00000000" w:csb0="00040001" w:csb1="00000000"/>
  </w:font>
  <w:font w:name="楷体_GB2312">
    <w:altName w:val="楷体"/>
    <w:panose1 w:val="02010609030101010101"/>
    <w:charset w:val="86"/>
    <w:family w:val="modern"/>
    <w:pitch w:val="variable"/>
    <w:sig w:usb0="00000000" w:usb1="00000000" w:usb2="00000010" w:usb3="00000000" w:csb0="00040000" w:csb1="00000000"/>
  </w:font>
  <w:font w:name="仿宋_GB2312">
    <w:altName w:val="仿宋"/>
    <w:panose1 w:val="02010609030101010101"/>
    <w:charset w:val="86"/>
    <w:family w:val="modern"/>
    <w:pitch w:val="variable"/>
    <w:sig w:usb0="00000000" w:usb1="00000000" w:usb2="00000010" w:usb3="00000000" w:csb0="00040000" w:csb1="00000000"/>
  </w:font>
  <w:font w:name="Cambria">
    <w:altName w:val="DejaVu Sans"/>
    <w:panose1 w:val="02040503050406030204"/>
    <w:charset w:val="00"/>
    <w:family w:val="roman"/>
    <w:pitch w:val="variable"/>
    <w:sig w:usb0="E00006FF" w:usb1="420024FF" w:usb2="02000000" w:usb3="00000000" w:csb0="2000019F" w:csb1="00000000"/>
  </w:font>
  <w:font w:name="Calibri">
    <w:altName w:val="DejaVu Sans"/>
    <w:panose1 w:val="020F05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369349092"/>
    </w:sdtPr>
    <w:sdtContent>
      <w:p>
        <w:pPr>
          <w:pStyle w:val="19"/>
          <w:tabs>
            <w:tab w:val="center" w:pos="4153"/>
            <w:tab w:val="right" w:pos="8306"/>
          </w:tabs>
        </w:pPr>
        <w:r>
          <w:fldChar w:fldCharType="begin"/>
        </w:r>
        <w:r>
          <w:instrText>PAGE   \* MERGEFORMAT</w:instrText>
        </w:r>
        <w:r>
          <w:fldChar w:fldCharType="separate"/>
        </w:r>
        <w:r>
          <w:rPr>
            <w:lang w:val="zh-CN"/>
          </w:rPr>
          <w:t>22</w:t>
        </w:r>
        <w:r>
          <w:rPr>
            <w:lang w:val="zh-CN"/>
          </w:rPr>
          <w:fldChar w:fldCharType="end"/>
        </w:r>
      </w:p>
    </w:sdtContent>
  </w:sdt>
  <w:p>
    <w:pPr>
      <w:pStyle w:val="19"/>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ind w:firstLineChars="200" w:firstLine="200"/>
      <w:jc w:val="both"/>
    </w:pPr>
    <w:rPr>
      <w:rFonts w:ascii="仿宋" w:eastAsia="仿宋" w:cs="Times New Roman"/>
      <w:color w:val="000000"/>
      <w:kern w:val="2"/>
      <w:sz w:val="32"/>
      <w:szCs w:val="32"/>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仿宋" w:eastAsia="仿宋" w:cs="Times New Roman"/>
      <w:b/>
      <w:bCs/>
      <w:color w:val="000000"/>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rPr>
  </w:style>
  <w:style w:type="character" w:customStyle="1" w:styleId="2Char">
    <w:name w:val="heading 2 Char"/>
    <w:basedOn w:val="10"/>
    <w:link w:val="2"/>
    <w:rPr>
      <w:rFonts w:ascii="Cambria" w:eastAsia="宋体" w:cs="Times New Roman" w:hAnsi="Cambria"/>
      <w:b/>
      <w:bCs/>
      <w:color w:val="000000"/>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Plain Text"/>
    <w:basedOn w:val="0"/>
    <w:pPr>
      <w:ind w:firstLineChars="0" w:firstLine="0"/>
    </w:pPr>
    <w:rPr>
      <w:rFonts w:ascii="宋体" w:eastAsia="宋体"/>
      <w:color w:val="auto"/>
      <w:kern w:val="0"/>
      <w:sz w:val="20"/>
      <w:szCs w:val="24"/>
    </w:r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rFonts w:ascii="Calibri" w:hAnsi="Calibri"/>
      <w:kern w:val="0"/>
      <w:sz w:val="18"/>
      <w:szCs w:val="18"/>
    </w:rPr>
  </w:style>
  <w:style w:type="paragraph" w:styleId="20">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1">
    <w:name w:val="toc 1"/>
    <w:basedOn w:val="0"/>
    <w:next w:val="0"/>
    <w:pPr>
      <w:tabs>
        <w:tab w:val="right" w:leader="dot" w:pos="8296"/>
      </w:tabs>
      <w:spacing w:before="93"/>
      <w:jc w:val="center"/>
    </w:pPr>
    <w:rPr>
      <w:sz w:val="28"/>
      <w:szCs w:val="28"/>
    </w:rPr>
  </w:style>
  <w:style w:type="paragraph" w:styleId="22">
    <w:name w:val="toc 2"/>
    <w:basedOn w:val="0"/>
    <w:next w:val="0"/>
    <w:pPr>
      <w:tabs>
        <w:tab w:val="right" w:leader="dot" w:pos="8296"/>
      </w:tabs>
      <w:ind w:leftChars="200" w:left="200"/>
    </w:pPr>
  </w:style>
  <w:style w:type="character" w:styleId="23">
    <w:name w:val="Strong"/>
    <w:basedOn w:val="10"/>
    <w:rPr>
      <w:b/>
    </w:rPr>
  </w:style>
  <w:style w:type="character" w:styleId="24">
    <w:name w:val="Hyperlink"/>
    <w:basedOn w:val="10"/>
    <w:rPr>
      <w:color w:val="0000FF"/>
      <w:u w:val="single"/>
    </w:rPr>
  </w:style>
  <w:style w:type="character" w:customStyle="1" w:styleId="25">
    <w:name w:val="Header Char"/>
    <w:basedOn w:val="10"/>
    <w:rPr>
      <w:rFonts w:ascii="Times New Roman" w:hAnsi="Times New Roman"/>
      <w:sz w:val="18"/>
      <w:szCs w:val="18"/>
    </w:rPr>
  </w:style>
  <w:style w:type="character" w:customStyle="1" w:styleId="26">
    <w:name w:val="Footer Char"/>
    <w:basedOn w:val="10"/>
    <w:rPr>
      <w:rFonts w:ascii="Times New Roman" w:hAnsi="Times New Roman"/>
      <w:sz w:val="18"/>
      <w:szCs w:val="18"/>
    </w:rPr>
  </w:style>
  <w:style w:type="character" w:customStyle="1" w:styleId="27">
    <w:name w:val="Body Text Char"/>
    <w:basedOn w:val="10"/>
    <w:rPr>
      <w:rFonts w:ascii="Times New Roman" w:hAnsi="Times New Roman"/>
      <w:szCs w:val="24"/>
    </w:rPr>
  </w:style>
  <w:style w:type="paragraph" w:customStyle="1" w:styleId="28">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29">
    <w:name w:val="List Paragraph"/>
    <w:basedOn w:val="0"/>
  </w:style>
  <w:style w:type="paragraph" w:customStyle="1" w:styleId="30">
    <w:name w:val="TOC 标题1"/>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paragraph" w:customStyle="1" w:styleId="31">
    <w:name w:val="TOC Heading"/>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chart" Target="charts/chart1.xml"/><Relationship Id="rId4" Type="http://schemas.openxmlformats.org/officeDocument/2006/relationships/chart" Target="charts/chart2.xml"/><Relationship Id="rId5" Type="http://schemas.openxmlformats.org/officeDocument/2006/relationships/chart" Target="charts/chart3.xml"/><Relationship Id="rId6" Type="http://schemas.openxmlformats.org/officeDocument/2006/relationships/chart" Target="charts/chart4.xml"/><Relationship Id="rId7" Type="http://schemas.openxmlformats.org/officeDocument/2006/relationships/chart" Target="charts/chart5.xml"/><Relationship Id="rId8" Type="http://schemas.openxmlformats.org/officeDocument/2006/relationships/chart" Target="charts/chart6.xml"/><Relationship Id="rId9" Type="http://schemas.openxmlformats.org/officeDocument/2006/relationships/chart" Target="charts/chart7.xml"/><Relationship Id="rId10" Type="http://schemas.openxmlformats.org/officeDocument/2006/relationships/styles" Target="styles.xml"/><Relationship Id="rId1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40077"/>
          <c:y val="0.06181285"/>
          <c:w val="0.8202851"/>
          <c:h val="0.76236504"/>
        </c:manualLayout>
      </c:layout>
      <c:barChart>
        <c:barDir val="col"/>
        <c:grouping val="clustered"/>
        <c:varyColors val="0"/>
        <c:ser>
          <c:idx val="0"/>
          <c:order val="0"/>
          <c:spPr>
            <a:solidFill>
              <a:srgbClr val="9999FF"/>
            </a:solidFill>
            <a:ln w="6350">
              <a:solidFill>
                <a:srgbClr val="000000"/>
              </a:solidFill>
              <a:prstDash val="solid"/>
            </a:ln>
          </c:spPr>
          <c:invertIfNegative val="0"/>
          <c:dLbls>
            <c:txPr>
              <a:bodyPr/>
              <a:lstStyle/>
              <a:p>
                <a:pPr>
                  <a:defRPr sz="1450" b="0" i="0" u="none" strike="noStrike" baseline="0">
                    <a:solidFill>
                      <a:srgbClr val="000000"/>
                    </a:solidFill>
                    <a:latin typeface="宋体"/>
                    <a:ea typeface="宋体"/>
                    <a:cs typeface="Lucida Sans"/>
                  </a:defRPr>
                </a:pPr>
                <a:endParaRPr lang="zh-CN"/>
              </a:p>
            </c:txPr>
            <c:numFmt formatCode="General" sourceLinked="0"/>
            <c:showLegendKey val="0"/>
            <c:showVal val="0"/>
            <c:showCatName val="0"/>
            <c:showSerName val="0"/>
            <c:showPercent val="0"/>
            <c:showBubbleSize val="0"/>
            <c:showLeaderLines val="0"/>
          </c:dLbls>
          <c:cat>
            <c:numRef>
              <c:numCache>
                <c:ptCount val="2"/>
                <c:pt idx="0">
                  <c:v>2018</c:v>
                </c:pt>
                <c:pt idx="1">
                  <c:v>2019</c:v>
                </c:pt>
              </c:numCache>
            </c:numRef>
          </c:cat>
          <c:val>
            <c:numRef>
              <c:f/>
              <c:numCache>
                <c:formatCode>General</c:formatCode>
                <c:ptCount val="2"/>
                <c:pt idx="0">
                  <c:v>14405.67</c:v>
                </c:pt>
                <c:pt idx="1">
                  <c:v>15337.85</c:v>
                </c:pt>
              </c:numCache>
            </c:numRef>
          </c:val>
        </c:ser>
        <c:ser>
          <c:idx val="1"/>
          <c:order val="1"/>
          <c:spPr>
            <a:solidFill>
              <a:srgbClr val="993366"/>
            </a:solidFill>
            <a:ln w="6350">
              <a:solidFill>
                <a:srgbClr val="000000"/>
              </a:solidFill>
              <a:prstDash val="solid"/>
            </a:ln>
          </c:spPr>
          <c:invertIfNegative val="0"/>
          <c:dLbls>
            <c:txPr>
              <a:bodyPr/>
              <a:lstStyle/>
              <a:p>
                <a:pPr>
                  <a:defRPr sz="1450" b="0" i="0" u="none" strike="noStrike" baseline="0">
                    <a:solidFill>
                      <a:srgbClr val="000000"/>
                    </a:solidFill>
                    <a:latin typeface="宋体"/>
                    <a:ea typeface="宋体"/>
                    <a:cs typeface="Lucida Sans"/>
                  </a:defRPr>
                </a:pPr>
                <a:endParaRPr lang="zh-CN"/>
              </a:p>
            </c:txPr>
            <c:numFmt formatCode="General" sourceLinked="1"/>
            <c:showLegendKey val="0"/>
            <c:showVal val="0"/>
            <c:showCatName val="0"/>
            <c:showSerName val="0"/>
            <c:showPercent val="0"/>
            <c:showBubbleSize val="0"/>
            <c:showLeaderLines val="0"/>
          </c:dLbls>
          <c:cat>
            <c:numRef>
              <c:numCache>
                <c:ptCount val="2"/>
                <c:pt idx="0">
                  <c:v>2018</c:v>
                </c:pt>
                <c:pt idx="1">
                  <c:v>2019</c:v>
                </c:pt>
              </c:numCache>
            </c:numRef>
          </c:cat>
          <c:val>
            <c:numRef>
              <c:f/>
            </c:numRef>
          </c:val>
        </c:ser>
        <c:gapWidth val="150"/>
        <c:axId val="0"/>
        <c:axId val="1"/>
      </c:barChart>
      <c:catAx>
        <c:axId val="0"/>
        <c:scaling>
          <c:orientation val="minMax"/>
        </c:scaling>
        <c:delete val="0"/>
        <c:axPos val="b"/>
        <c:numFmt formatCode="General" sourceLinked="0"/>
        <c:majorTickMark val="in"/>
        <c:minorTickMark val="none"/>
        <c:tickLblPos val="nextTo"/>
        <c:spPr>
          <a:ln w="6350">
            <a:solidFill>
              <a:srgbClr val="000000"/>
            </a:solidFill>
            <a:prstDash val="solid"/>
          </a:ln>
        </c:spPr>
        <c:txPr>
          <a:bodyPr rot="0" vert="horz" anchor="t" anchorCtr="0"/>
          <a:lstStyle/>
          <a:p>
            <a:pPr>
              <a:defRPr sz="1450" b="0" i="0" u="none" strike="noStrike" baseline="0">
                <a:solidFill>
                  <a:srgbClr val="000000"/>
                </a:solidFill>
                <a:latin typeface="宋体"/>
                <a:ea typeface="宋体"/>
                <a:cs typeface="Lucida Sans"/>
              </a:defRPr>
            </a:pPr>
            <a:endParaRPr lang="zh-CN"/>
          </a:p>
        </c:txPr>
        <c:crosses val="autoZero"/>
        <c:auto val="1"/>
        <c:lblOffset val="100"/>
        <c:lblAlgn val="ctr"/>
        <c:noMultiLvlLbl val="0"/>
        <c:crossAx val="1"/>
      </c:catAx>
      <c:valAx>
        <c:axId val="1"/>
        <c:scaling>
          <c:orientation val="minMax"/>
          <c:min val="0.0"/>
          <c:max val="20000.0"/>
        </c:scaling>
        <c:delete val="0"/>
        <c:axPos val="l"/>
        <c:majorGridlines>
          <c:spPr>
            <a:ln w="6350">
              <a:solidFill>
                <a:srgbClr val="000000"/>
              </a:solidFill>
              <a:prstDash val="solid"/>
            </a:ln>
          </c:spPr>
        </c:majorGridlines>
        <c:numFmt formatCode="General" sourceLinked="1"/>
        <c:majorTickMark val="in"/>
        <c:minorTickMark val="none"/>
        <c:tickLblPos val="nextTo"/>
        <c:spPr>
          <a:ln w="6350">
            <a:solidFill>
              <a:srgbClr val="000000"/>
            </a:solidFill>
            <a:prstDash val="solid"/>
          </a:ln>
        </c:spPr>
        <c:txPr>
          <a:bodyPr rot="0" vert="horz" anchor="t" anchorCtr="0"/>
          <a:lstStyle/>
          <a:p>
            <a:pPr>
              <a:defRPr sz="1450" b="0" i="0" u="none" strike="noStrike" baseline="0">
                <a:solidFill>
                  <a:srgbClr val="000000"/>
                </a:solidFill>
                <a:latin typeface="宋体"/>
                <a:ea typeface="宋体"/>
                <a:cs typeface="Lucida Sans"/>
              </a:defRPr>
            </a:pPr>
            <a:endParaRPr lang="zh-CN"/>
          </a:p>
        </c:txPr>
        <c:crossesAt val="1.0"/>
        <c:crossBetween val="between"/>
        <c:minorUnit val="200.0"/>
        <c:crossAx val="0"/>
      </c:valAx>
      <c:spPr>
        <a:noFill/>
      </c:spPr>
    </c:plotArea>
    <c:plotVisOnly val="1"/>
    <c:dispBlanksAs val="gap"/>
    <c:showDLblsOverMax val="0"/>
  </c:chart>
  <c:spPr>
    <a:solidFill>
      <a:srgbClr val="FFFFFF"/>
    </a:solidFill>
    <a:ln w="6350">
      <a:solidFill>
        <a:srgbClr val="000000"/>
      </a:solidFill>
      <a:prstDash val="solid"/>
    </a:ln>
  </c:spPr>
  <c:txPr>
    <a:bodyPr/>
    <a:lstStyle/>
    <a:p>
      <a:pPr>
        <a:defRPr sz="145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4F81BD"/>
            </a:solidFill>
          </c:spPr>
          <c:dPt>
            <c:idx val="0"/>
            <c:bubble3D val="0"/>
            <c:spPr>
              <a:solidFill>
                <a:srgbClr val="00B0F0"/>
              </a:solidFill>
            </c:spPr>
          </c:dPt>
          <c:dPt>
            <c:idx val="1"/>
            <c:bubble3D val="0"/>
            <c:spPr>
              <a:solidFill>
                <a:srgbClr val="C0504D"/>
              </a:solidFill>
            </c:spPr>
          </c:dPt>
          <c:dPt>
            <c:idx val="2"/>
            <c:bubble3D val="0"/>
            <c:spPr>
              <a:solidFill>
                <a:srgbClr val="FAC090"/>
              </a:solidFill>
            </c:spPr>
          </c:dPt>
          <c:dLbls>
            <c:txPr>
              <a:bodyPr/>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0"/>
            <c:showLegendKey val="0"/>
            <c:showVal val="0"/>
            <c:showCatName val="0"/>
            <c:showSerName val="0"/>
            <c:showPercent val="0"/>
            <c:showBubbleSize val="0"/>
            <c:showLeaderLines val="0"/>
          </c:dLbls>
          <c:cat>
            <c:strLit>
              <c:ptCount val="3"/>
              <c:pt idx="0">
                <c:v>一般公共预算财政拨款</c:v>
              </c:pt>
              <c:pt idx="1">
                <c:v>政府性基金预算财政拨款</c:v>
              </c:pt>
              <c:pt idx="2">
                <c:v>其他收入</c:v>
              </c:pt>
            </c:strLit>
          </c:cat>
          <c:val>
            <c:numRef>
              <c:f/>
              <c:numCache>
                <c:formatCode>General</c:formatCode>
                <c:ptCount val="3"/>
                <c:pt idx="0">
                  <c:v>5506.12</c:v>
                </c:pt>
                <c:pt idx="1">
                  <c:v>250.77</c:v>
                </c:pt>
                <c:pt idx="2">
                  <c:v>52.37</c:v>
                </c:pt>
              </c:numCache>
            </c:numRef>
          </c:val>
        </c:ser>
        <c:ser>
          <c:idx val="1"/>
          <c:order val="1"/>
          <c:spPr>
            <a:solidFill>
              <a:srgbClr val="C0504D"/>
            </a:solidFill>
          </c:spPr>
          <c:dPt>
            <c:idx val="0"/>
            <c:invertIfNegative val="0"/>
            <c:bubble3D val="0"/>
          </c:dPt>
          <c:dPt>
            <c:idx val="1"/>
            <c:invertIfNegative val="0"/>
            <c:bubble3D val="0"/>
          </c:dPt>
          <c:dLbls>
            <c:txPr>
              <a:bodyPr/>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0"/>
            <c:showLegendKey val="0"/>
            <c:showVal val="0"/>
            <c:showCatName val="0"/>
            <c:showSerName val="0"/>
            <c:showPercent val="0"/>
            <c:showBubbleSize val="0"/>
            <c:showLeaderLines val="0"/>
          </c:dLbls>
          <c:cat>
            <c:strLit>
              <c:ptCount val="3"/>
              <c:pt idx="0">
                <c:v>一般公共预算财政拨款</c:v>
              </c:pt>
              <c:pt idx="1">
                <c:v>政府性基金预算财政拨款</c:v>
              </c:pt>
              <c:pt idx="2">
                <c:v>其他收入</c:v>
              </c:pt>
            </c:strLit>
          </c:cat>
          <c:val>
            <c:numRef>
              <c:f/>
              <c:numCache>
                <c:formatCode>General</c:formatCode>
                <c:ptCount val="2"/>
                <c:pt idx="0">
                  <c:v>0.0</c:v>
                </c:pt>
                <c:pt idx="1">
                  <c:v>250.77</c:v>
                </c:pt>
              </c:numCache>
            </c:numRef>
          </c:val>
        </c:ser>
        <c:ser>
          <c:idx val="2"/>
          <c:order val="2"/>
          <c:spPr>
            <a:solidFill>
              <a:srgbClr val="9BBB59"/>
            </a:solidFill>
          </c:spPr>
          <c:dPt>
            <c:idx val="0"/>
            <c:invertIfNegative val="0"/>
            <c:bubble3D val="0"/>
          </c:dPt>
          <c:dPt>
            <c:idx val="1"/>
            <c:invertIfNegative val="0"/>
            <c:bubble3D val="0"/>
          </c:dPt>
          <c:dLbls>
            <c:txPr>
              <a:bodyPr/>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0"/>
            <c:showLegendKey val="0"/>
            <c:showVal val="0"/>
            <c:showCatName val="0"/>
            <c:showSerName val="0"/>
            <c:showPercent val="0"/>
            <c:showBubbleSize val="0"/>
            <c:showLeaderLines val="0"/>
          </c:dLbls>
          <c:cat>
            <c:strLit>
              <c:ptCount val="3"/>
              <c:pt idx="0">
                <c:v>一般公共预算财政拨款</c:v>
              </c:pt>
              <c:pt idx="1">
                <c:v>政府性基金预算财政拨款</c:v>
              </c:pt>
              <c:pt idx="2">
                <c:v>其他收入</c:v>
              </c:pt>
            </c:strLit>
          </c:cat>
          <c:val>
            <c:numRef>
              <c:f/>
              <c:numCache>
                <c:formatCode>General</c:formatCode>
                <c:ptCount val="2"/>
                <c:pt idx="0">
                  <c:v>0.0</c:v>
                </c:pt>
                <c:pt idx="1">
                  <c:v>52.37</c:v>
                </c:pt>
              </c:numCache>
            </c:numRef>
          </c:val>
        </c:ser>
        <c:ser>
          <c:idx val="3"/>
          <c:order val="3"/>
          <c:tx>
            <c:v>5506.12 250.77 52.37</c:v>
          </c:tx>
          <c:spPr>
            <a:solidFill>
              <a:srgbClr val="8064A2"/>
            </a:solidFill>
          </c:spPr>
          <c:dPt>
            <c:idx val="0"/>
            <c:invertIfNegative val="0"/>
            <c:bubble3D val="0"/>
          </c:dPt>
          <c:dLbls>
            <c:txPr>
              <a:bodyPr/>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0"/>
            <c:showLegendKey val="0"/>
            <c:showVal val="0"/>
            <c:showCatName val="0"/>
            <c:showSerName val="0"/>
            <c:showPercent val="0"/>
            <c:showBubbleSize val="0"/>
            <c:showLeaderLines val="0"/>
          </c:dLbls>
          <c:cat>
            <c:strLit>
              <c:ptCount val="3"/>
              <c:pt idx="0">
                <c:v>一般公共预算财政拨款</c:v>
              </c:pt>
              <c:pt idx="1">
                <c:v>政府性基金预算财政拨款</c:v>
              </c:pt>
              <c:pt idx="2">
                <c:v>其他收入</c:v>
              </c:pt>
            </c:strLit>
          </c:cat>
          <c:val>
            <c:numRef>
              <c:f/>
              <c:numCache>
                <c:formatCode>General</c:formatCode>
                <c:ptCount val="1"/>
                <c:pt idx="0">
                  <c:v>1.0</c:v>
                </c:pt>
              </c:numCache>
            </c:numRef>
          </c:val>
        </c:ser>
        <c:firstSliceAng val="0"/>
      </c:pieChart>
      <c:spPr>
        <a:noFill/>
        <a:ln>
          <a:noFill/>
        </a:ln>
      </c:spPr>
    </c:plotArea>
    <c:legend>
      <c:legendPos val="r"/>
      <c:layout>
        <c:manualLayout>
          <c:xMode val="edge"/>
          <c:yMode val="edge"/>
          <c:x val="0.74707085"/>
          <c:y val="0.5035907"/>
          <c:w val="0.23626247"/>
          <c:h val="0.4409664"/>
        </c:manualLayout>
      </c:layout>
      <c:overlay val="0"/>
      <c:spPr>
        <a:noFill/>
        <a:ln w="6350">
          <a:solidFill>
            <a:srgbClr val="4F81BD"/>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4F81BD"/>
            </a:solidFill>
          </c:spPr>
          <c:dPt>
            <c:idx val="0"/>
            <c:bubble3D val="0"/>
            <c:spPr>
              <a:solidFill>
                <a:srgbClr val="4F81BD"/>
              </a:solidFill>
            </c:spPr>
          </c:dPt>
          <c:dPt>
            <c:idx val="1"/>
            <c:bubble3D val="0"/>
            <c:spPr>
              <a:solidFill>
                <a:srgbClr val="C0504D"/>
              </a:solidFill>
            </c:spPr>
          </c:dPt>
          <c:dLbls>
            <c:txPr>
              <a:bodyPr/>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0"/>
            <c:showLegendKey val="0"/>
            <c:showVal val="0"/>
            <c:showCatName val="0"/>
            <c:showSerName val="0"/>
            <c:showPercent val="0"/>
            <c:showBubbleSize val="0"/>
            <c:showLeaderLines val="0"/>
          </c:dLbls>
          <c:cat>
            <c:strLit>
              <c:ptCount val="2"/>
              <c:pt idx="0">
                <c:v>基本支出</c:v>
              </c:pt>
              <c:pt idx="1">
                <c:v>项目支出</c:v>
              </c:pt>
            </c:strLit>
          </c:cat>
          <c:val>
            <c:numRef>
              <c:f/>
              <c:numCache>
                <c:formatCode>General</c:formatCode>
                <c:ptCount val="2"/>
                <c:pt idx="0">
                  <c:v>2690.34</c:v>
                </c:pt>
                <c:pt idx="1">
                  <c:v>3233.0</c:v>
                </c:pt>
              </c:numCache>
            </c:numRef>
          </c:val>
        </c:ser>
        <c:firstSliceAng val="0"/>
      </c:pieChart>
      <c:spPr>
        <a:noFill/>
        <a:ln>
          <a:noFill/>
        </a:ln>
      </c:spPr>
    </c:plotArea>
    <c:legend>
      <c:legendPos val="r"/>
      <c:layout/>
      <c:overlay val="0"/>
      <c:spPr>
        <a:noFill/>
        <a:ln>
          <a:noFill/>
        </a:ln>
      </c:spPr>
      <c:txPr>
        <a:bodyPr/>
        <a:lstStyle/>
        <a:p>
          <a:pPr>
            <a:defRPr sz="1000" b="0" i="0" u="none" strike="noStrike" baseline="0">
              <a:solidFill>
                <a:srgbClr val="000000"/>
              </a:solidFill>
              <a:latin typeface="方正兰亭黑_GBK"/>
              <a:ea typeface="方正兰亭黑_GBK"/>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75307"/>
          <c:y val="0.0836766"/>
          <c:w val="0.83824694"/>
          <c:h val="0.68072927"/>
        </c:manualLayout>
      </c:layout>
      <c:barChart>
        <c:barDir val="col"/>
        <c:grouping val="clustered"/>
        <c:varyColors val="0"/>
        <c:ser>
          <c:idx val="0"/>
          <c:order val="0"/>
          <c:spPr>
            <a:solidFill>
              <a:srgbClr val="9999FF"/>
            </a:solidFill>
            <a:ln w="6350">
              <a:solidFill>
                <a:srgbClr val="000000"/>
              </a:solidFill>
              <a:prstDash val="solid"/>
            </a:ln>
          </c:spPr>
          <c:invertIfNegative val="0"/>
          <c:dLbls>
            <c:txPr>
              <a:bodyPr/>
              <a:lstStyle/>
              <a:p>
                <a:pPr>
                  <a:defRPr sz="1200" b="0" i="0" u="none" strike="noStrike" baseline="0">
                    <a:solidFill>
                      <a:srgbClr val="000000"/>
                    </a:solidFill>
                    <a:latin typeface="宋体"/>
                    <a:ea typeface="宋体"/>
                    <a:cs typeface="Lucida Sans"/>
                  </a:defRPr>
                </a:pPr>
                <a:endParaRPr lang="zh-CN"/>
              </a:p>
            </c:txPr>
            <c:numFmt formatCode="General" sourceLinked="0"/>
            <c:showLegendKey val="0"/>
            <c:showVal val="0"/>
            <c:showCatName val="0"/>
            <c:showSerName val="0"/>
            <c:showPercent val="0"/>
            <c:showBubbleSize val="0"/>
            <c:showLeaderLines val="0"/>
          </c:dLbls>
          <c:cat>
            <c:strLit>
              <c:ptCount val="2"/>
              <c:pt idx="0">
                <c:v>2018年</c:v>
              </c:pt>
              <c:pt idx="1">
                <c:v>2019年</c:v>
              </c:pt>
            </c:strLit>
          </c:cat>
          <c:val>
            <c:numRef>
              <c:f/>
              <c:numCache>
                <c:formatCode>General</c:formatCode>
                <c:ptCount val="2"/>
                <c:pt idx="0">
                  <c:v>14131.12</c:v>
                </c:pt>
                <c:pt idx="1">
                  <c:v>15116.46</c:v>
                </c:pt>
              </c:numCache>
            </c:numRef>
          </c:val>
        </c:ser>
        <c:gapWidth val="150"/>
        <c:axId val="0"/>
        <c:axId val="1"/>
      </c:barChart>
      <c:catAx>
        <c:axId val="0"/>
        <c:scaling>
          <c:orientation val="minMax"/>
        </c:scaling>
        <c:delete val="0"/>
        <c:axPos val="b"/>
        <c:numFmt formatCode="General" sourceLinked="0"/>
        <c:majorTickMark val="in"/>
        <c:minorTickMark val="none"/>
        <c:tickLblPos val="nextTo"/>
        <c:spPr>
          <a:ln w="6350">
            <a:solidFill>
              <a:srgbClr val="000000"/>
            </a:solidFill>
            <a:prstDash val="solid"/>
          </a:ln>
        </c:spPr>
        <c:txPr>
          <a:bodyPr rot="0" vert="horz" anchor="t" anchorCtr="0"/>
          <a:lstStyle/>
          <a:p>
            <a:pPr>
              <a:defRPr sz="1200" b="0" i="0" u="none" strike="noStrike" baseline="0">
                <a:solidFill>
                  <a:srgbClr val="000000"/>
                </a:solidFill>
                <a:latin typeface="宋体"/>
                <a:ea typeface="宋体"/>
                <a:cs typeface="Lucida Sans"/>
              </a:defRPr>
            </a:pPr>
            <a:endParaRPr lang="zh-CN"/>
          </a:p>
        </c:txPr>
        <c:crosses val="autoZero"/>
        <c:auto val="1"/>
        <c:lblOffset val="100"/>
        <c:lblAlgn val="ctr"/>
        <c:noMultiLvlLbl val="0"/>
        <c:crossAx val="1"/>
      </c:catAx>
      <c:valAx>
        <c:axId val="1"/>
        <c:scaling>
          <c:orientation val="minMax"/>
          <c:min val="0.0"/>
          <c:max val="20000.0"/>
        </c:scaling>
        <c:delete val="0"/>
        <c:axPos val="l"/>
        <c:majorGridlines>
          <c:spPr>
            <a:ln w="6350">
              <a:solidFill>
                <a:srgbClr val="000000"/>
              </a:solidFill>
              <a:prstDash val="solid"/>
            </a:ln>
          </c:spPr>
        </c:majorGridlines>
        <c:numFmt formatCode="General" sourceLinked="1"/>
        <c:majorTickMark val="in"/>
        <c:minorTickMark val="none"/>
        <c:tickLblPos val="nextTo"/>
        <c:spPr>
          <a:ln w="6350">
            <a:solidFill>
              <a:srgbClr val="000000"/>
            </a:solidFill>
            <a:prstDash val="solid"/>
          </a:ln>
        </c:spPr>
        <c:txPr>
          <a:bodyPr rot="0" vert="horz" anchor="t" anchorCtr="0"/>
          <a:lstStyle/>
          <a:p>
            <a:pPr>
              <a:defRPr sz="1200" b="0" i="0" u="none" strike="noStrike" baseline="0">
                <a:solidFill>
                  <a:srgbClr val="000000"/>
                </a:solidFill>
                <a:latin typeface="宋体"/>
                <a:ea typeface="宋体"/>
                <a:cs typeface="Lucida Sans"/>
              </a:defRPr>
            </a:pPr>
            <a:endParaRPr lang="zh-CN"/>
          </a:p>
        </c:txPr>
        <c:crossesAt val="1.0"/>
        <c:crossBetween val="between"/>
        <c:majorUnit val="5000.0"/>
        <c:crossAx val="0"/>
      </c:valAx>
      <c:spPr>
        <a:solidFill>
          <a:srgbClr val="C0C0C0"/>
        </a:solidFill>
        <a:ln w="6350">
          <a:solidFill>
            <a:srgbClr val="808080"/>
          </a:solidFill>
          <a:prstDash val="solid"/>
        </a:ln>
      </c:spPr>
    </c:plotArea>
    <c:plotVisOnly val="1"/>
    <c:dispBlanksAs val="gap"/>
    <c:showDLblsOverMax val="0"/>
  </c:chart>
  <c:spPr>
    <a:solidFill>
      <a:srgbClr val="FFFFFF"/>
    </a:solidFill>
    <a:ln w="6350">
      <a:solidFill>
        <a:srgbClr val="000000"/>
      </a:solidFill>
      <a:prstDash val="solid"/>
    </a:ln>
  </c:spPr>
  <c:txPr>
    <a:bodyPr/>
    <a:lstStyle/>
    <a:p>
      <a:pPr>
        <a:defRPr sz="12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75307"/>
          <c:y val="0.0836766"/>
          <c:w val="0.83824694"/>
          <c:h val="0.68072927"/>
        </c:manualLayout>
      </c:layout>
      <c:barChart>
        <c:barDir val="col"/>
        <c:grouping val="clustered"/>
        <c:varyColors val="0"/>
        <c:ser>
          <c:idx val="0"/>
          <c:order val="0"/>
          <c:spPr>
            <a:solidFill>
              <a:srgbClr val="9999FF"/>
            </a:solidFill>
            <a:ln w="6350">
              <a:solidFill>
                <a:srgbClr val="000000"/>
              </a:solidFill>
              <a:prstDash val="solid"/>
            </a:ln>
          </c:spPr>
          <c:invertIfNegative val="0"/>
          <c:dLbls>
            <c:txPr>
              <a:bodyPr/>
              <a:lstStyle/>
              <a:p>
                <a:pPr>
                  <a:defRPr sz="1200" b="0" i="0" u="none" strike="noStrike" baseline="0">
                    <a:solidFill>
                      <a:srgbClr val="000000"/>
                    </a:solidFill>
                    <a:latin typeface="宋体"/>
                    <a:ea typeface="宋体"/>
                    <a:cs typeface="Lucida Sans"/>
                  </a:defRPr>
                </a:pPr>
                <a:endParaRPr lang="zh-CN"/>
              </a:p>
            </c:txPr>
            <c:numFmt formatCode="General" sourceLinked="0"/>
            <c:showLegendKey val="0"/>
            <c:showVal val="0"/>
            <c:showCatName val="0"/>
            <c:showSerName val="0"/>
            <c:showPercent val="0"/>
            <c:showBubbleSize val="0"/>
            <c:showLeaderLines val="0"/>
          </c:dLbls>
          <c:cat>
            <c:strLit>
              <c:ptCount val="2"/>
              <c:pt idx="0">
                <c:v>2018年</c:v>
              </c:pt>
              <c:pt idx="1">
                <c:v>2019年</c:v>
              </c:pt>
            </c:strLit>
          </c:cat>
          <c:val>
            <c:numRef>
              <c:f/>
              <c:numCache>
                <c:formatCode>General</c:formatCode>
                <c:ptCount val="2"/>
                <c:pt idx="0">
                  <c:v>4768.18</c:v>
                </c:pt>
                <c:pt idx="1">
                  <c:v>5095.54</c:v>
                </c:pt>
              </c:numCache>
            </c:numRef>
          </c:val>
        </c:ser>
        <c:gapWidth val="150"/>
        <c:axId val="0"/>
        <c:axId val="1"/>
      </c:barChart>
      <c:catAx>
        <c:axId val="0"/>
        <c:scaling>
          <c:orientation val="minMax"/>
        </c:scaling>
        <c:delete val="0"/>
        <c:axPos val="b"/>
        <c:numFmt formatCode="General" sourceLinked="0"/>
        <c:majorTickMark val="in"/>
        <c:minorTickMark val="none"/>
        <c:tickLblPos val="nextTo"/>
        <c:spPr>
          <a:ln w="6350">
            <a:solidFill>
              <a:srgbClr val="000000"/>
            </a:solidFill>
            <a:prstDash val="solid"/>
          </a:ln>
        </c:spPr>
        <c:txPr>
          <a:bodyPr rot="0" vert="horz" anchor="t" anchorCtr="0"/>
          <a:lstStyle/>
          <a:p>
            <a:pPr>
              <a:defRPr sz="1200" b="0" i="0" u="none" strike="noStrike" baseline="0">
                <a:solidFill>
                  <a:srgbClr val="000000"/>
                </a:solidFill>
                <a:latin typeface="宋体"/>
                <a:ea typeface="宋体"/>
                <a:cs typeface="Lucida Sans"/>
              </a:defRPr>
            </a:pPr>
            <a:endParaRPr lang="zh-CN"/>
          </a:p>
        </c:txPr>
        <c:crosses val="autoZero"/>
        <c:auto val="1"/>
        <c:lblOffset val="100"/>
        <c:lblAlgn val="ctr"/>
        <c:noMultiLvlLbl val="0"/>
        <c:crossAx val="1"/>
      </c:catAx>
      <c:valAx>
        <c:axId val="1"/>
        <c:scaling>
          <c:orientation val="minMax"/>
          <c:min val="0.0"/>
          <c:max val="6000.0"/>
        </c:scaling>
        <c:delete val="0"/>
        <c:axPos val="l"/>
        <c:majorGridlines>
          <c:spPr>
            <a:ln w="6350">
              <a:solidFill>
                <a:srgbClr val="000000"/>
              </a:solidFill>
              <a:prstDash val="solid"/>
            </a:ln>
          </c:spPr>
        </c:majorGridlines>
        <c:numFmt formatCode="General" sourceLinked="1"/>
        <c:majorTickMark val="in"/>
        <c:minorTickMark val="none"/>
        <c:tickLblPos val="nextTo"/>
        <c:spPr>
          <a:ln w="6350">
            <a:solidFill>
              <a:srgbClr val="000000"/>
            </a:solidFill>
            <a:prstDash val="solid"/>
          </a:ln>
        </c:spPr>
        <c:txPr>
          <a:bodyPr rot="0" vert="horz" anchor="t" anchorCtr="0"/>
          <a:lstStyle/>
          <a:p>
            <a:pPr>
              <a:defRPr sz="1200" b="0" i="0" u="none" strike="noStrike" baseline="0">
                <a:solidFill>
                  <a:srgbClr val="000000"/>
                </a:solidFill>
                <a:latin typeface="宋体"/>
                <a:ea typeface="宋体"/>
                <a:cs typeface="Lucida Sans"/>
              </a:defRPr>
            </a:pPr>
            <a:endParaRPr lang="zh-CN"/>
          </a:p>
        </c:txPr>
        <c:crossesAt val="1.0"/>
        <c:crossBetween val="between"/>
        <c:majorUnit val="1000.0"/>
        <c:crossAx val="0"/>
      </c:valAx>
      <c:spPr>
        <a:solidFill>
          <a:srgbClr val="C0C0C0"/>
        </a:solidFill>
        <a:ln w="6350">
          <a:solidFill>
            <a:srgbClr val="808080"/>
          </a:solidFill>
          <a:prstDash val="solid"/>
        </a:ln>
      </c:spPr>
    </c:plotArea>
    <c:plotVisOnly val="1"/>
    <c:dispBlanksAs val="gap"/>
    <c:showDLblsOverMax val="0"/>
  </c:chart>
  <c:spPr>
    <a:solidFill>
      <a:srgbClr val="FFFFFF"/>
    </a:solidFill>
    <a:ln w="6350">
      <a:solidFill>
        <a:srgbClr val="000000"/>
      </a:solidFill>
      <a:prstDash val="solid"/>
    </a:ln>
  </c:spPr>
  <c:txPr>
    <a:bodyPr/>
    <a:lstStyle/>
    <a:p>
      <a:pPr>
        <a:defRPr sz="12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4F81BD"/>
            </a:solidFill>
          </c:spPr>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Lbls>
            <c:txPr>
              <a:bodyPr/>
              <a:lstStyle/>
              <a:p>
                <a:pPr>
                  <a:defRPr sz="1200" b="0" i="0" u="none" strike="noStrike" baseline="0">
                    <a:solidFill>
                      <a:srgbClr val="000000"/>
                    </a:solidFill>
                    <a:latin typeface="宋体"/>
                    <a:ea typeface="宋体"/>
                    <a:cs typeface="Lucida Sans"/>
                  </a:defRPr>
                </a:pPr>
                <a:endParaRPr lang="zh-CN"/>
              </a:p>
            </c:txPr>
            <c:numFmt formatCode="General" sourceLinked="0"/>
            <c:showLegendKey val="0"/>
            <c:showVal val="0"/>
            <c:showCatName val="0"/>
            <c:showSerName val="0"/>
            <c:showPercent val="0"/>
            <c:showBubbleSize val="0"/>
            <c:showLeaderLines val="0"/>
          </c:dLbls>
          <c:cat>
            <c:strLit>
              <c:ptCount val="4"/>
              <c:pt idx="0">
                <c:v>一般公共服务支出</c:v>
              </c:pt>
              <c:pt idx="1">
                <c:v>社会保障和就业支出</c:v>
              </c:pt>
              <c:pt idx="2">
                <c:v>节能环保支出</c:v>
              </c:pt>
              <c:pt idx="3">
                <c:v>住房保障支出</c:v>
              </c:pt>
            </c:strLit>
          </c:cat>
          <c:val>
            <c:numRef>
              <c:f/>
              <c:numCache>
                <c:formatCode>General</c:formatCode>
                <c:ptCount val="4"/>
                <c:pt idx="0">
                  <c:v>12.18</c:v>
                </c:pt>
                <c:pt idx="1">
                  <c:v>312.18</c:v>
                </c:pt>
                <c:pt idx="2">
                  <c:v>4594.77</c:v>
                </c:pt>
                <c:pt idx="3">
                  <c:v>176.4</c:v>
                </c:pt>
              </c:numCache>
            </c:numRef>
          </c:val>
        </c:ser>
        <c:firstSliceAng val="0"/>
      </c:pieChart>
      <c:spPr>
        <a:noFill/>
        <a:ln>
          <a:noFill/>
        </a:ln>
      </c:spPr>
    </c:plotArea>
    <c:legend>
      <c:legendPos val="r"/>
      <c:layout>
        <c:manualLayout>
          <c:xMode val="edge"/>
          <c:yMode val="edge"/>
          <c:x val="0.7469697"/>
          <c:y val="0.65958047"/>
          <c:w val="0.22774994"/>
          <c:h val="0.32988992"/>
        </c:manualLayout>
      </c:layout>
      <c:overlay val="0"/>
      <c:spPr>
        <a:solidFill>
          <a:srgbClr val="FFFFFF"/>
        </a:solidFill>
        <a:ln w="6350">
          <a:solidFill>
            <a:srgbClr val="000000"/>
          </a:solidFill>
          <a:prstDash val="solid"/>
        </a:ln>
      </c:spPr>
      <c:txPr>
        <a:bodyPr/>
        <a:lstStyle/>
        <a:p>
          <a:pPr>
            <a:defRPr sz="850" b="0" i="0" u="none" strike="noStrike" baseline="0">
              <a:solidFill>
                <a:srgbClr val="000000"/>
              </a:solidFill>
              <a:latin typeface="宋体"/>
              <a:ea typeface="宋体"/>
              <a:cs typeface="Lucida Sans"/>
            </a:defRPr>
          </a:pPr>
          <a:endParaRPr lang="zh-CN"/>
        </a:p>
      </c:txPr>
      <c:legendEntry>
        <c:idx val="0"/>
        <c:txPr>
          <a:bodyPr/>
          <a:lstStyle/>
          <a:p>
            <a:pPr>
              <a:defRPr sz="850" b="0" i="0" u="none" strike="noStrike" baseline="0">
                <a:solidFill>
                  <a:srgbClr val="000000"/>
                </a:solidFill>
                <a:latin typeface="宋体"/>
                <a:ea typeface="宋体"/>
                <a:cs typeface="Lucida Sans"/>
              </a:defRPr>
            </a:pPr>
            <a:endParaRPr lang="zh-CN"/>
          </a:p>
        </c:txPr>
      </c:legendEntry>
      <c:legendEntry>
        <c:idx val="1"/>
        <c:txPr>
          <a:bodyPr/>
          <a:lstStyle/>
          <a:p>
            <a:pPr>
              <a:defRPr sz="850" b="0" i="0" u="none" strike="noStrike" baseline="0">
                <a:solidFill>
                  <a:srgbClr val="000000"/>
                </a:solidFill>
                <a:latin typeface="宋体"/>
                <a:ea typeface="宋体"/>
                <a:cs typeface="Lucida Sans"/>
              </a:defRPr>
            </a:pPr>
            <a:endParaRPr lang="zh-CN"/>
          </a:p>
        </c:txPr>
      </c:legendEntry>
    </c:legend>
    <c:plotVisOnly val="1"/>
    <c:dispBlanksAs val="zero"/>
    <c:showDLblsOverMax val="0"/>
  </c:chart>
  <c:spPr>
    <a:solidFill>
      <a:srgbClr val="FFFFFF"/>
    </a:solidFill>
    <a:ln w="6350">
      <a:solidFill>
        <a:srgbClr val="000000"/>
      </a:solidFill>
      <a:prstDash val="solid"/>
    </a:ln>
  </c:spPr>
  <c:txPr>
    <a:bodyPr/>
    <a:lstStyle/>
    <a:p>
      <a:pPr>
        <a:defRPr sz="12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4F81BD"/>
            </a:solidFill>
          </c:spPr>
          <c:dPt>
            <c:idx val="0"/>
            <c:bubble3D val="0"/>
            <c:spPr>
              <a:solidFill>
                <a:srgbClr val="4F81BD"/>
              </a:solidFill>
            </c:spPr>
          </c:dPt>
          <c:dPt>
            <c:idx val="1"/>
            <c:bubble3D val="0"/>
            <c:spPr>
              <a:solidFill>
                <a:srgbClr val="C0504D"/>
              </a:solidFill>
            </c:spPr>
          </c:dPt>
          <c:dPt>
            <c:idx val="2"/>
            <c:bubble3D val="0"/>
            <c:spPr>
              <a:solidFill>
                <a:srgbClr val="9BBB59"/>
              </a:solidFill>
            </c:spPr>
          </c:dPt>
          <c:dLbls>
            <c:txPr>
              <a:bodyPr/>
              <a:lstStyle/>
              <a:p>
                <a:pPr>
                  <a:defRPr sz="1200" b="0" i="0" u="none" strike="noStrike" baseline="0">
                    <a:solidFill>
                      <a:srgbClr val="000000"/>
                    </a:solidFill>
                    <a:latin typeface="宋体"/>
                    <a:ea typeface="宋体"/>
                    <a:cs typeface="Lucida Sans"/>
                  </a:defRPr>
                </a:pPr>
                <a:endParaRPr lang="zh-CN"/>
              </a:p>
            </c:txPr>
            <c:numFmt formatCode="General" sourceLinked="0"/>
            <c:showLegendKey val="0"/>
            <c:showVal val="0"/>
            <c:showCatName val="0"/>
            <c:showSerName val="0"/>
            <c:showPercent val="0"/>
            <c:showBubbleSize val="0"/>
            <c:showLeaderLines val="0"/>
          </c:dLbls>
          <c:cat>
            <c:strLit>
              <c:ptCount val="3"/>
              <c:pt idx="0">
                <c:v>公务用车购置及运行维护费</c:v>
              </c:pt>
              <c:pt idx="1">
                <c:v>公务接待费</c:v>
              </c:pt>
              <c:pt idx="2">
                <c:v>因公出国（境）费</c:v>
              </c:pt>
            </c:strLit>
          </c:cat>
          <c:val>
            <c:numRef>
              <c:f/>
              <c:numCache>
                <c:formatCode>General</c:formatCode>
                <c:ptCount val="3"/>
                <c:pt idx="0">
                  <c:v>59.03</c:v>
                </c:pt>
                <c:pt idx="1">
                  <c:v>2.04</c:v>
                </c:pt>
                <c:pt idx="2">
                  <c:v>7.24</c:v>
                </c:pt>
              </c:numCache>
            </c:numRef>
          </c:val>
        </c:ser>
        <c:firstSliceAng val="0"/>
      </c:pieChart>
      <c:spPr>
        <a:noFill/>
        <a:ln>
          <a:noFill/>
        </a:ln>
      </c:spPr>
    </c:plotArea>
    <c:legend>
      <c:legendPos val="r"/>
      <c:layout>
        <c:manualLayout>
          <c:xMode val="edge"/>
          <c:yMode val="edge"/>
          <c:x val="0.64648604"/>
          <c:y val="0.5420561"/>
          <c:w val="0.33325008"/>
          <c:h val="0.4485"/>
        </c:manualLayout>
      </c:layout>
      <c:overlay val="0"/>
      <c:spPr>
        <a:noFill/>
        <a:ln>
          <a:noFill/>
        </a:ln>
      </c:spPr>
      <c:txPr>
        <a:bodyPr/>
        <a:lstStyle/>
        <a:p>
          <a:pPr>
            <a:defRPr sz="750" b="0" i="0" u="none" strike="noStrike" baseline="0">
              <a:solidFill>
                <a:srgbClr val="000000"/>
              </a:solidFill>
              <a:latin typeface="宋体"/>
              <a:ea typeface="宋体"/>
              <a:cs typeface="Lucida Sans"/>
            </a:defRPr>
          </a:pPr>
          <a:endParaRPr lang="zh-CN"/>
        </a:p>
      </c:txPr>
      <c:legendEntry>
        <c:idx val="0"/>
        <c:txPr>
          <a:bodyPr/>
          <a:lstStyle/>
          <a:p>
            <a:pPr>
              <a:defRPr sz="750" b="0" i="0" u="none" strike="noStrike" baseline="0">
                <a:solidFill>
                  <a:srgbClr val="000000"/>
                </a:solidFill>
                <a:latin typeface="宋体"/>
                <a:ea typeface="宋体"/>
                <a:cs typeface="Lucida Sans"/>
              </a:defRPr>
            </a:pPr>
            <a:endParaRPr lang="zh-CN"/>
          </a:p>
        </c:txPr>
      </c:legendEntry>
      <c:legendEntry>
        <c:idx val="1"/>
        <c:txPr>
          <a:bodyPr/>
          <a:lstStyle/>
          <a:p>
            <a:pPr>
              <a:defRPr sz="750" b="0" i="0" u="none" strike="noStrike" baseline="0">
                <a:solidFill>
                  <a:srgbClr val="000000"/>
                </a:solidFill>
                <a:latin typeface="宋体"/>
                <a:ea typeface="宋体"/>
                <a:cs typeface="Lucida Sans"/>
              </a:defRPr>
            </a:pPr>
            <a:endParaRPr lang="zh-CN"/>
          </a:p>
        </c:txPr>
      </c:legendEntry>
      <c:legendEntry>
        <c:idx val="2"/>
        <c:txPr>
          <a:bodyPr/>
          <a:lstStyle/>
          <a:p>
            <a:pPr>
              <a:defRPr sz="750" b="0" i="0" u="none" strike="noStrike" baseline="0">
                <a:solidFill>
                  <a:srgbClr val="000000"/>
                </a:solidFill>
                <a:latin typeface="宋体"/>
                <a:ea typeface="宋体"/>
                <a:cs typeface="Lucida Sans"/>
              </a:defRPr>
            </a:pPr>
            <a:endParaRPr lang="zh-CN"/>
          </a:p>
        </c:txPr>
      </c:legendEntry>
    </c:legend>
    <c:plotVisOnly val="1"/>
    <c:dispBlanksAs val="zero"/>
    <c:showDLblsOverMax val="0"/>
  </c:chart>
  <c:spPr>
    <a:solidFill>
      <a:srgbClr val="FFFFFF"/>
    </a:solidFill>
    <a:ln w="6350">
      <a:solidFill>
        <a:srgbClr val="000000"/>
      </a:solidFill>
      <a:prstDash val="solid"/>
    </a:ln>
  </c:spPr>
  <c:txPr>
    <a:bodyPr/>
    <a:lstStyle/>
    <a:p>
      <a:pPr>
        <a:defRPr sz="12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1472</TotalTime>
  <Application>Yozo_Office27021597764231179</Application>
  <Pages>54</Pages>
  <Words>24008</Words>
  <Characters>25421</Characters>
  <Lines>1742</Lines>
  <Paragraphs>716</Paragraphs>
  <CharactersWithSpaces>25485</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696</cp:revision>
  <cp:lastPrinted>2020-09-15T08:38:00Z</cp:lastPrinted>
  <dcterms:created xsi:type="dcterms:W3CDTF">2020-08-04T01:49:00Z</dcterms:created>
  <dcterms:modified xsi:type="dcterms:W3CDTF">2024-04-30T01:42:58Z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2052-11.1.0.10700</vt:lpwstr>
  </property>
  <property fmtid="{D5CDD505-2E9C-101B-9397-08002B2CF9AE}" pid="3" name="ICV">
    <vt:lpwstr>E35412E3030A46B690A8BBD53240A33E</vt:lpwstr>
  </property>
</Properties>
</file>