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  <w:t>攀枝花市应急管理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  <w:t>局2024年</w:t>
      </w:r>
      <w:r>
        <w:rPr>
          <w:rFonts w:ascii="CESI黑体-GB2312" w:hAnsi="CESI黑体-GB2312" w:eastAsia="CESI黑体-GB2312" w:cs="CESI黑体-GB2312"/>
          <w:b/>
          <w:bCs/>
          <w:sz w:val="44"/>
          <w:szCs w:val="44"/>
        </w:rPr>
        <w:t>二</w:t>
      </w:r>
      <w:r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  <w:t>季度煤矿检查结果信息公开表</w:t>
      </w:r>
    </w:p>
    <w:tbl>
      <w:tblPr>
        <w:tblStyle w:val="13"/>
        <w:tblpPr w:leftFromText="180" w:rightFromText="180" w:vertAnchor="text" w:horzAnchor="page" w:tblpX="2030" w:tblpY="795"/>
        <w:tblOverlap w:val="never"/>
        <w:tblW w:w="13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35"/>
        <w:gridCol w:w="2025"/>
        <w:gridCol w:w="2025"/>
        <w:gridCol w:w="1785"/>
        <w:gridCol w:w="178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事项名称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检查（抽查）对象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检查（抽查）时间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检查（抽查）人员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检查（抽查）情况（隐患条条数）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检查（抽查）结果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</w:pPr>
            <w:r>
              <w:rPr>
                <w:rFonts w:ascii="宋体" w:eastAsia="宋体"/>
                <w:b/>
                <w:bCs/>
                <w:i w:val="0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攀枝花市沿江实业有限责任公司田堡二矿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4月11日-12日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 刘晓冬、冯卫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攀枝花市春福工贸有限责任公司胜利煤矿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4月13日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 刘晓冬、冯卫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攀枝花龙蟒煤业有限责任公司朱窝子煤矿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4月15日-16日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鲜均、罗桂林、刘晓冬、冯卫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四川川煤华荣能源有限责任公司大宝顶煤矿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4月23日-27日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鲜均、罗桂林、刘晓冬、冯卫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四川川煤华荣能源有限责任公司花山煤矿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4月28日-5月7日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鲜均、罗桂林、刘晓冬、刘剑波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四川川煤华荣能源有限责任公司太平煤矿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5月8日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鲜均、罗桂林、刘晓冬、冯卫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四川川煤华荣能源有限责任公司小宝鼎煤矿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5月13日-17日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鲜均、罗桂林、刘晓冬、李程、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计划检查/双随机检查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攀枝花煤业（集团）有限责任公司精煤分公司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6月14日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刘巍、刘晓冬、田苗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责令限期改正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Arial" w:hAnsi="Arial" w:eastAsia="Arial"/>
                <w:b w:val="0"/>
                <w:i w:val="0"/>
                <w:color w:val="auto"/>
                <w:sz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黑体-GB2312">
    <w:panose1 w:val="02000500000000000000"/>
    <w:charset w:val="86"/>
    <w:family w:val="script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3845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591" cy="26034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5pt;width:22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zEYX91gAAAAMBAAAP&#10;AAAAAAAAAAEAIAAAADgAAABkcnMvZG93bnJldi54bWxQSwECFAAUAAAACACHTuJAe9lzWAQCAAD0&#10;AwAADgAAAAAAAAABACAAAAA7AQAAZHJzL2Uyb0RvYy54bWxQSwUGAAAAAAYABgBZAQAAs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QzZmVhZTRmOTM2Y2JjZTQwOWFmNjI0YjU5YWJjZWIifQ=="/>
  </w:docVars>
  <w:rsids>
    <w:rsidRoot w:val="00000000"/>
    <w:rsid w:val="1378A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spacing w:line="289" w:lineRule="atLeast"/>
      <w:jc w:val="center"/>
      <w:textAlignment w:val="baseline"/>
    </w:pPr>
    <w:rPr>
      <w:color w:val="000000"/>
      <w:sz w:val="28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8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9">
    <w:name w:val="Body Text"/>
    <w:basedOn w:val="1"/>
    <w:next w:val="7"/>
    <w:qFormat/>
    <w:uiPriority w:val="0"/>
    <w:pPr>
      <w:spacing w:after="0"/>
    </w:pPr>
    <w:rPr>
      <w:rFonts w:ascii="宋体" w:hAnsi="方正兰亭黑_GBK" w:cs="宋体"/>
      <w:sz w:val="32"/>
      <w:szCs w:val="32"/>
      <w:lang w:val="zh-C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41B51-6002-471F-941F-1999996DE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450</Characters>
  <Lines>0</Lines>
  <Paragraphs>3</Paragraphs>
  <TotalTime>15</TotalTime>
  <ScaleCrop>false</ScaleCrop>
  <LinksUpToDate>false</LinksUpToDate>
  <CharactersWithSpaces>601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2022-12-30T20:23:00Z</dcterms:created>
  <dc:creator>Owenr</dc:creator>
  <cp:lastModifiedBy>user</cp:lastModifiedBy>
  <cp:lastPrinted>2022-12-31T00:37:00Z</cp:lastPrinted>
  <dcterms:modified xsi:type="dcterms:W3CDTF">2024-08-29T11:01:51Z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DA46AB8246C6E7929FE4CF66C4411D1D_43</vt:lpwstr>
  </property>
</Properties>
</file>