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06267"/>
      <w:bookmarkStart w:id="2" w:name="_Toc15377425"/>
      <w:bookmarkStart w:id="3" w:name="_Toc15396475"/>
      <w:bookmarkStart w:id="4" w:name="_Toc15378441"/>
      <w:bookmarkStart w:id="5" w:name="_Toc1539659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pStyle w:val="6"/>
        <w:jc w:val="center"/>
        <w:rPr>
          <w:rFonts w:hint="eastAsia" w:ascii="方正小标宋简体" w:hAnsi="宋体" w:eastAsia="方正小标宋简体" w:cs="Times New Roman"/>
          <w:color w:val="auto"/>
          <w:kern w:val="2"/>
          <w:sz w:val="72"/>
          <w:szCs w:val="72"/>
          <w:highlight w:val="none"/>
          <w:lang w:val="en-US" w:eastAsia="zh-CN" w:bidi="ar-SA"/>
        </w:rPr>
      </w:pPr>
      <w:bookmarkStart w:id="6" w:name="_Toc15396599"/>
      <w:bookmarkStart w:id="7" w:name="_Toc15377196"/>
      <w:r>
        <w:rPr>
          <w:rFonts w:hint="eastAsia" w:ascii="方正小标宋简体" w:hAnsi="宋体" w:eastAsia="方正小标宋简体" w:cs="Times New Roman"/>
          <w:color w:val="auto"/>
          <w:kern w:val="2"/>
          <w:sz w:val="72"/>
          <w:szCs w:val="72"/>
          <w:highlight w:val="none"/>
          <w:lang w:val="en-US" w:eastAsia="zh-CN" w:bidi="ar-SA"/>
        </w:rPr>
        <w:t>2023年度</w:t>
      </w:r>
    </w:p>
    <w:p>
      <w:pPr>
        <w:pStyle w:val="6"/>
        <w:jc w:val="center"/>
        <w:rPr>
          <w:rFonts w:hint="eastAsia" w:ascii="方正小标宋简体" w:hAnsi="宋体" w:eastAsia="方正小标宋简体" w:cs="Times New Roman"/>
          <w:color w:val="auto"/>
          <w:kern w:val="2"/>
          <w:sz w:val="72"/>
          <w:szCs w:val="72"/>
          <w:highlight w:val="none"/>
          <w:lang w:val="en-US" w:eastAsia="zh-CN" w:bidi="ar-SA"/>
        </w:rPr>
      </w:pPr>
      <w:r>
        <w:rPr>
          <w:rFonts w:hint="eastAsia" w:ascii="方正小标宋简体" w:hAnsi="宋体" w:eastAsia="方正小标宋简体" w:cs="Times New Roman"/>
          <w:color w:val="auto"/>
          <w:kern w:val="2"/>
          <w:sz w:val="72"/>
          <w:szCs w:val="72"/>
          <w:highlight w:val="none"/>
          <w:lang w:val="en-US" w:eastAsia="zh-CN" w:bidi="ar-SA"/>
        </w:rPr>
        <w:t>攀枝花市总工会单位决算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imes New Roman"/>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default"/>
          <w:color w:val="auto"/>
          <w:highlight w:val="none"/>
          <w:lang w:val="en" w:eastAsia="zh-CN"/>
        </w:rPr>
        <w:t>19</w:t>
      </w:r>
      <w:r>
        <w:rPr>
          <w:rFonts w:hint="eastAsia"/>
          <w:color w:val="auto"/>
          <w:highlight w:val="none"/>
        </w:rPr>
        <w:t>日</w:t>
      </w:r>
      <w:bookmarkStart w:id="42" w:name="_GoBack"/>
      <w:bookmarkEnd w:id="42"/>
    </w:p>
    <w:p>
      <w:pPr>
        <w:rPr>
          <w:color w:val="auto"/>
          <w:highlight w:val="none"/>
        </w:rPr>
      </w:pPr>
    </w:p>
    <w:p>
      <w:pPr>
        <w:pStyle w:val="13"/>
        <w:adjustRightInd w:val="0"/>
        <w:snapToGrid w:val="0"/>
        <w:spacing w:before="0" w:line="440" w:lineRule="exact"/>
        <w:jc w:val="left"/>
        <w:rPr>
          <w:rFonts w:hint="eastAsia" w:eastAsia="仿宋" w:cs="Times New Roman"/>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val="en-US" w:eastAsia="zh-CN"/>
        </w:rPr>
        <w:t>单位</w:t>
      </w:r>
      <w:r>
        <w:rPr>
          <w:rFonts w:hint="eastAsia"/>
          <w:color w:val="auto"/>
          <w:sz w:val="24"/>
          <w:highlight w:val="none"/>
        </w:rPr>
        <w:t>概况</w:t>
      </w:r>
      <w:r>
        <w:rPr>
          <w:rFonts w:ascii="Times New Roman" w:hAnsi="Times New Roman"/>
          <w:sz w:val="24"/>
          <w:szCs w:val="24"/>
        </w:rPr>
        <w:tab/>
      </w:r>
      <w:r>
        <w:rPr>
          <w:rFonts w:hint="eastAsia" w:ascii="Times New Roman" w:hAnsi="Times New Roman"/>
          <w:sz w:val="24"/>
          <w:szCs w:val="24"/>
          <w:lang w:val="en-US" w:eastAsia="zh-CN"/>
        </w:rPr>
        <w:t>4</w:t>
      </w:r>
    </w:p>
    <w:p>
      <w:pPr>
        <w:pStyle w:val="15"/>
        <w:adjustRightInd w:val="0"/>
        <w:snapToGrid w:val="0"/>
        <w:spacing w:line="440" w:lineRule="exact"/>
        <w:jc w:val="left"/>
        <w:rPr>
          <w:rFonts w:hint="eastAsia"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r>
        <w:rPr>
          <w:rFonts w:ascii="Times New Roman" w:hAnsi="Times New Roman"/>
          <w:sz w:val="24"/>
          <w:szCs w:val="24"/>
        </w:rPr>
        <w:tab/>
      </w:r>
      <w:r>
        <w:rPr>
          <w:rFonts w:hint="eastAsia"/>
          <w:sz w:val="24"/>
          <w:szCs w:val="24"/>
          <w:lang w:val="en-US" w:eastAsia="zh-CN"/>
        </w:rPr>
        <w:t>4</w:t>
      </w:r>
    </w:p>
    <w:p>
      <w:pPr>
        <w:pStyle w:val="15"/>
        <w:adjustRightInd w:val="0"/>
        <w:snapToGrid w:val="0"/>
        <w:spacing w:line="440" w:lineRule="exact"/>
        <w:jc w:val="left"/>
        <w:rPr>
          <w:rFonts w:hint="eastAsia"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ascii="Times New Roman" w:hAnsi="Times New Roman"/>
          <w:sz w:val="24"/>
          <w:szCs w:val="24"/>
        </w:rPr>
        <w:tab/>
      </w:r>
      <w:r>
        <w:rPr>
          <w:rFonts w:hint="eastAsia"/>
          <w:sz w:val="24"/>
          <w:szCs w:val="24"/>
          <w:lang w:val="en-US" w:eastAsia="zh-CN"/>
        </w:rPr>
        <w:t>5</w:t>
      </w:r>
    </w:p>
    <w:p>
      <w:pPr>
        <w:pStyle w:val="13"/>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2023年度单位</w:t>
      </w:r>
      <w:r>
        <w:rPr>
          <w:rFonts w:hint="eastAsia"/>
          <w:color w:val="auto"/>
          <w:sz w:val="24"/>
          <w:highlight w:val="none"/>
        </w:rPr>
        <w:t>决算情况说明</w:t>
      </w:r>
      <w:r>
        <w:rPr>
          <w:rFonts w:ascii="Times New Roman" w:hAnsi="Times New Roman"/>
          <w:sz w:val="24"/>
          <w:szCs w:val="24"/>
        </w:rPr>
        <w:tab/>
      </w:r>
      <w:r>
        <w:rPr>
          <w:rFonts w:hint="eastAsia" w:ascii="Times New Roman" w:hAnsi="Times New Roman"/>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一、收入支出决算总体情况说明</w:t>
      </w:r>
      <w:r>
        <w:rPr>
          <w:rFonts w:ascii="Times New Roman" w:hAnsi="Times New Roman"/>
          <w:sz w:val="24"/>
          <w:szCs w:val="24"/>
        </w:rPr>
        <w:tab/>
      </w:r>
      <w:r>
        <w:rPr>
          <w:rFonts w:hint="eastAsia"/>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二、收入决算情况说明</w:t>
      </w:r>
      <w:r>
        <w:rPr>
          <w:rFonts w:ascii="Times New Roman" w:hAnsi="Times New Roman"/>
          <w:sz w:val="24"/>
          <w:szCs w:val="24"/>
        </w:rPr>
        <w:tab/>
      </w:r>
      <w:r>
        <w:rPr>
          <w:rFonts w:hint="eastAsia"/>
          <w:sz w:val="24"/>
          <w:szCs w:val="24"/>
          <w:lang w:val="en-US" w:eastAsia="zh-CN"/>
        </w:rPr>
        <w:t>6</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三、支出决算情况说明</w:t>
      </w:r>
      <w:r>
        <w:rPr>
          <w:rFonts w:ascii="Times New Roman" w:hAnsi="Times New Roman"/>
          <w:sz w:val="24"/>
          <w:szCs w:val="24"/>
        </w:rPr>
        <w:tab/>
      </w:r>
      <w:r>
        <w:rPr>
          <w:rFonts w:hint="eastAsia"/>
          <w:sz w:val="24"/>
          <w:szCs w:val="24"/>
          <w:lang w:val="en-US" w:eastAsia="zh-CN"/>
        </w:rPr>
        <w:t>7</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四、财政拨款收入支出决算总体情况说明</w:t>
      </w:r>
      <w:r>
        <w:rPr>
          <w:rFonts w:ascii="Times New Roman" w:hAnsi="Times New Roman"/>
          <w:sz w:val="24"/>
          <w:szCs w:val="24"/>
        </w:rPr>
        <w:tab/>
      </w:r>
      <w:r>
        <w:rPr>
          <w:rFonts w:hint="eastAsia"/>
          <w:sz w:val="24"/>
          <w:szCs w:val="24"/>
          <w:lang w:val="en-US" w:eastAsia="zh-CN"/>
        </w:rPr>
        <w:t>7</w:t>
      </w:r>
    </w:p>
    <w:p>
      <w:pPr>
        <w:pStyle w:val="15"/>
        <w:adjustRightInd w:val="0"/>
        <w:snapToGrid w:val="0"/>
        <w:spacing w:line="440" w:lineRule="exact"/>
        <w:jc w:val="left"/>
        <w:rPr>
          <w:rFonts w:hint="eastAsia" w:ascii="仿宋" w:hAnsi="仿宋" w:eastAsia="宋体" w:cs="Times New Roman"/>
          <w:color w:val="auto"/>
          <w:sz w:val="24"/>
          <w:highlight w:val="none"/>
          <w:lang w:val="en-US" w:eastAsia="zh-CN"/>
        </w:rPr>
      </w:pPr>
      <w:r>
        <w:rPr>
          <w:rFonts w:hint="eastAsia"/>
          <w:color w:val="auto"/>
          <w:sz w:val="24"/>
          <w:highlight w:val="none"/>
        </w:rPr>
        <w:t>五、一般公共预算财政拨款支出决算情况说明</w:t>
      </w:r>
      <w:r>
        <w:rPr>
          <w:rFonts w:ascii="Times New Roman" w:hAnsi="Times New Roman"/>
          <w:sz w:val="24"/>
          <w:szCs w:val="24"/>
        </w:rPr>
        <w:tab/>
      </w:r>
      <w:r>
        <w:rPr>
          <w:rFonts w:hint="eastAsia"/>
          <w:sz w:val="24"/>
          <w:szCs w:val="24"/>
          <w:lang w:val="en-US" w:eastAsia="zh-CN"/>
        </w:rPr>
        <w:t>8</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六、一般公共预算财政拨款基本支出决算情况说明</w:t>
      </w:r>
      <w:r>
        <w:rPr>
          <w:rFonts w:ascii="Times New Roman" w:hAnsi="Times New Roman"/>
          <w:sz w:val="24"/>
          <w:szCs w:val="24"/>
        </w:rPr>
        <w:tab/>
      </w:r>
      <w:r>
        <w:rPr>
          <w:rFonts w:hint="eastAsia"/>
          <w:sz w:val="24"/>
          <w:szCs w:val="24"/>
          <w:lang w:val="en-US" w:eastAsia="zh-CN"/>
        </w:rPr>
        <w:t>10</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ascii="Times New Roman" w:hAnsi="Times New Roman"/>
          <w:sz w:val="24"/>
          <w:szCs w:val="24"/>
        </w:rPr>
        <w:tab/>
      </w:r>
      <w:r>
        <w:rPr>
          <w:rFonts w:hint="eastAsia"/>
          <w:sz w:val="24"/>
          <w:szCs w:val="24"/>
          <w:lang w:val="en-US" w:eastAsia="zh-CN"/>
        </w:rPr>
        <w:t>10</w:t>
      </w:r>
    </w:p>
    <w:p>
      <w:pPr>
        <w:pStyle w:val="15"/>
        <w:adjustRightInd w:val="0"/>
        <w:snapToGrid w:val="0"/>
        <w:spacing w:line="440" w:lineRule="exact"/>
        <w:jc w:val="left"/>
        <w:rPr>
          <w:rFonts w:hint="default" w:ascii="仿宋" w:hAnsi="仿宋" w:eastAsia="宋体" w:cs="Times New Roman"/>
          <w:color w:val="auto"/>
          <w:sz w:val="24"/>
          <w:highlight w:val="none"/>
          <w:lang w:val="en-US" w:eastAsia="zh-CN"/>
        </w:rPr>
      </w:pPr>
      <w:r>
        <w:rPr>
          <w:rFonts w:hint="eastAsia"/>
          <w:color w:val="auto"/>
          <w:sz w:val="24"/>
          <w:highlight w:val="none"/>
        </w:rPr>
        <w:t>八、政府性基金预算支出决算情况说明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ascii="Times New Roman" w:hAnsi="Times New Roman"/>
          <w:sz w:val="24"/>
          <w:szCs w:val="24"/>
        </w:rPr>
        <w:tab/>
      </w:r>
      <w:r>
        <w:rPr>
          <w:rFonts w:hint="eastAsia"/>
          <w:sz w:val="24"/>
          <w:szCs w:val="24"/>
          <w:lang w:val="en-US" w:eastAsia="zh-CN"/>
        </w:rPr>
        <w:t>11</w:t>
      </w:r>
    </w:p>
    <w:p>
      <w:pPr>
        <w:pStyle w:val="15"/>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r>
        <w:rPr>
          <w:rFonts w:ascii="Times New Roman" w:hAnsi="Times New Roman"/>
          <w:sz w:val="24"/>
          <w:szCs w:val="24"/>
        </w:rPr>
        <w:tab/>
      </w:r>
      <w:r>
        <w:rPr>
          <w:rFonts w:hint="eastAsia"/>
          <w:sz w:val="24"/>
          <w:szCs w:val="24"/>
          <w:lang w:val="en-US" w:eastAsia="zh-CN"/>
        </w:rPr>
        <w:t>11</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ascii="Times New Roman" w:hAnsi="Times New Roman"/>
          <w:sz w:val="24"/>
          <w:szCs w:val="24"/>
        </w:rPr>
        <w:tab/>
      </w:r>
      <w:r>
        <w:rPr>
          <w:rFonts w:hint="eastAsia" w:ascii="Times New Roman" w:hAnsi="Times New Roman"/>
          <w:sz w:val="24"/>
          <w:szCs w:val="24"/>
          <w:lang w:val="en-US" w:eastAsia="zh-CN"/>
        </w:rPr>
        <w:t>13</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ascii="Times New Roman" w:hAnsi="Times New Roman"/>
          <w:sz w:val="24"/>
          <w:szCs w:val="24"/>
        </w:rPr>
        <w:tab/>
      </w:r>
      <w:r>
        <w:rPr>
          <w:rFonts w:hint="eastAsia" w:ascii="Times New Roman" w:hAnsi="Times New Roman"/>
          <w:sz w:val="24"/>
          <w:szCs w:val="24"/>
          <w:lang w:val="en-US" w:eastAsia="zh-CN"/>
        </w:rPr>
        <w:t>15</w:t>
      </w:r>
    </w:p>
    <w:p>
      <w:pPr>
        <w:pStyle w:val="13"/>
        <w:adjustRightInd w:val="0"/>
        <w:snapToGrid w:val="0"/>
        <w:spacing w:before="0" w:line="440" w:lineRule="exact"/>
        <w:jc w:val="left"/>
        <w:rPr>
          <w:rFonts w:hint="default" w:eastAsia="仿宋" w:cs="Times New Roman"/>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ascii="Times New Roman" w:hAnsi="Times New Roman"/>
          <w:sz w:val="24"/>
          <w:szCs w:val="24"/>
        </w:rPr>
        <w:tab/>
      </w:r>
      <w:r>
        <w:rPr>
          <w:rFonts w:hint="eastAsia" w:ascii="Times New Roman" w:hAnsi="Times New Roman"/>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ascii="Times New Roman" w:hAnsi="Times New Roman"/>
          <w:sz w:val="24"/>
          <w:szCs w:val="24"/>
          <w:lang w:val="en-US" w:eastAsia="zh-CN"/>
        </w:rPr>
      </w:pPr>
      <w:r>
        <w:rPr>
          <w:rFonts w:hint="eastAsia"/>
          <w:color w:val="auto"/>
          <w:sz w:val="24"/>
          <w:highlight w:val="none"/>
        </w:rPr>
        <w:t>五、财政拨款支出决算明细表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十、政府性基金预算财政拨款收入支出决算表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十一、国有资本经营预算财政拨款收入支出决算表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ascii="Times New Roman" w:hAnsi="Times New Roman"/>
          <w:sz w:val="24"/>
          <w:szCs w:val="24"/>
        </w:rPr>
        <w:tab/>
      </w:r>
      <w:r>
        <w:rPr>
          <w:rFonts w:hint="eastAsia"/>
          <w:sz w:val="24"/>
          <w:szCs w:val="24"/>
          <w:lang w:val="en-US" w:eastAsia="zh-CN"/>
        </w:rPr>
        <w:t>16</w:t>
      </w:r>
    </w:p>
    <w:p>
      <w:pPr>
        <w:pStyle w:val="15"/>
        <w:adjustRightInd w:val="0"/>
        <w:snapToGrid w:val="0"/>
        <w:spacing w:line="440" w:lineRule="exact"/>
        <w:jc w:val="left"/>
        <w:rPr>
          <w:rFonts w:hint="default"/>
          <w:color w:val="auto"/>
          <w:sz w:val="24"/>
          <w:highlight w:val="none"/>
          <w:lang w:val="en-US"/>
        </w:rPr>
      </w:pPr>
      <w:r>
        <w:rPr>
          <w:rFonts w:hint="eastAsia"/>
          <w:color w:val="auto"/>
          <w:sz w:val="24"/>
          <w:highlight w:val="none"/>
        </w:rPr>
        <w:t>十三、财政拨款“三公”经费支出决算表</w:t>
      </w:r>
      <w:r>
        <w:rPr>
          <w:rFonts w:ascii="Times New Roman" w:hAnsi="Times New Roman"/>
          <w:sz w:val="24"/>
          <w:szCs w:val="24"/>
        </w:rPr>
        <w:tab/>
      </w:r>
      <w:r>
        <w:rPr>
          <w:rFonts w:hint="eastAsia"/>
          <w:sz w:val="24"/>
          <w:szCs w:val="24"/>
          <w:lang w:val="en-US" w:eastAsia="zh-CN"/>
        </w:rPr>
        <w:t>16</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adjustRightInd w:val="0"/>
        <w:snapToGrid w:val="0"/>
        <w:spacing w:line="440" w:lineRule="exact"/>
        <w:ind w:firstLine="1320" w:firstLineChars="550"/>
        <w:jc w:val="left"/>
        <w:rPr>
          <w:rFonts w:ascii="仿宋" w:hAnsi="仿宋" w:eastAsia="仿宋"/>
          <w:color w:val="auto"/>
          <w:sz w:val="24"/>
          <w:highlight w:val="none"/>
        </w:rPr>
      </w:pP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bookmarkEnd w:id="6"/>
    <w:bookmarkEnd w:id="7"/>
    <w:p>
      <w:pPr>
        <w:pStyle w:val="3"/>
        <w:jc w:val="center"/>
        <w:rPr>
          <w:rStyle w:val="52"/>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val="en-US" w:eastAsia="zh-CN"/>
        </w:rPr>
        <w:t>单位</w:t>
      </w:r>
      <w:r>
        <w:rPr>
          <w:rStyle w:val="52"/>
          <w:rFonts w:hint="eastAsia" w:ascii="黑体" w:hAnsi="黑体" w:eastAsia="黑体"/>
          <w:b w:val="0"/>
          <w:bCs w:val="0"/>
          <w:color w:val="auto"/>
          <w:highlight w:val="none"/>
        </w:rPr>
        <w:t>概况</w:t>
      </w:r>
    </w:p>
    <w:p>
      <w:pPr>
        <w:widowControl/>
        <w:jc w:val="left"/>
        <w:rPr>
          <w:rFonts w:ascii="黑体" w:eastAsia="黑体"/>
          <w:color w:val="auto"/>
          <w:sz w:val="32"/>
          <w:szCs w:val="32"/>
          <w:highlight w:val="none"/>
        </w:rPr>
      </w:pPr>
    </w:p>
    <w:p>
      <w:pPr>
        <w:pStyle w:val="4"/>
        <w:numPr>
          <w:ilvl w:val="0"/>
          <w:numId w:val="1"/>
        </w:numPr>
        <w:rPr>
          <w:rStyle w:val="53"/>
          <w:rFonts w:hint="eastAsia" w:ascii="黑体" w:hAnsi="黑体" w:eastAsia="黑体"/>
          <w:b w:val="0"/>
          <w:bCs w:val="0"/>
          <w:color w:val="auto"/>
          <w:highlight w:val="none"/>
          <w:lang w:eastAsia="zh-CN"/>
        </w:rPr>
      </w:pPr>
      <w:r>
        <w:rPr>
          <w:rStyle w:val="53"/>
          <w:rFonts w:hint="eastAsia" w:ascii="黑体" w:hAnsi="黑体" w:eastAsia="黑体"/>
          <w:b w:val="0"/>
          <w:bCs w:val="0"/>
          <w:color w:val="auto"/>
          <w:highlight w:val="none"/>
          <w:lang w:eastAsia="zh-CN"/>
        </w:rPr>
        <w:t>主要职责</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lang w:val="en-US" w:eastAsia="zh-CN" w:bidi="ar-SA"/>
        </w:rPr>
        <w:t>根据党的基本理论、基本路线、基本纲领和工运方针，围绕党和国家工作大局，贯彻执行中国工会全国代表大会、中华全国总工会执行委员会和四川省、攀枝花市工会代表大会、全委会确定的方针、任务和作出的决议。</w:t>
      </w:r>
      <w:r>
        <w:rPr>
          <w:rFonts w:hint="eastAsia" w:ascii="仿宋" w:hAnsi="仿宋" w:eastAsia="仿宋" w:cs="仿宋"/>
          <w:kern w:val="2"/>
          <w:sz w:val="32"/>
          <w:szCs w:val="32"/>
          <w:shd w:val="clear" w:color="auto" w:fill="FFFFFF"/>
          <w:lang w:val="en-US" w:eastAsia="zh-CN" w:bidi="ar-SA"/>
        </w:rPr>
        <w:t>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依照法律和《中国工会章程》，组织和指导各级工会坚定不移地推动党的全心全意依靠工人阶级根本指导方针的贯彻落实，进一步突出和履行维护职能。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协助市政府做好市劳动模范的推荐、评选和管理工作；协助四川省总工会做好在攀全省劳模和“五一劳动奖章”、“五一劳动奖状”获得者的推荐、管理工作。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负责全市工会经费和工会资产的管理、审查、审计工作；研究、制定工会组织兴办职工劳动福利事业的有关制度和规定；负责对全市工会职工劳动福利事业的指导、协调工作。　　</w:t>
      </w:r>
    </w:p>
    <w:p>
      <w:pPr>
        <w:pStyle w:val="6"/>
        <w:pageBreakBefore w:val="0"/>
        <w:widowControl w:val="0"/>
        <w:numPr>
          <w:ilvl w:val="0"/>
          <w:numId w:val="2"/>
        </w:numPr>
        <w:kinsoku/>
        <w:wordWrap/>
        <w:overflowPunct/>
        <w:topLinePunct w:val="0"/>
        <w:autoSpaceDE/>
        <w:autoSpaceDN/>
        <w:bidi w:val="0"/>
        <w:adjustRightInd w:val="0"/>
        <w:snapToGrid w:val="0"/>
        <w:spacing w:before="93" w:line="560" w:lineRule="exact"/>
        <w:ind w:left="94" w:leftChars="45" w:firstLine="512" w:firstLineChars="160"/>
        <w:textAlignment w:val="auto"/>
        <w:outlineLvl w:val="2"/>
        <w:rPr>
          <w:rFonts w:hint="eastAsia" w:ascii="仿宋" w:hAnsi="仿宋" w:eastAsia="仿宋" w:cs="仿宋"/>
          <w:sz w:val="32"/>
          <w:szCs w:val="32"/>
          <w:lang w:eastAsia="zh-CN"/>
        </w:rPr>
      </w:pPr>
      <w:r>
        <w:rPr>
          <w:rFonts w:hint="eastAsia" w:ascii="仿宋" w:hAnsi="仿宋" w:eastAsia="仿宋" w:cs="仿宋"/>
          <w:kern w:val="2"/>
          <w:sz w:val="32"/>
          <w:szCs w:val="32"/>
          <w:shd w:val="clear" w:color="auto" w:fill="FFFFFF"/>
          <w:lang w:val="en-US" w:eastAsia="zh-CN" w:bidi="ar-SA"/>
        </w:rPr>
        <w:t>承办市委、市政府和四川省总工会交办的其它事项。</w:t>
      </w:r>
    </w:p>
    <w:p>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攀枝花市总工会下属二级预算单位0个，其中行政单位0个，参照公务员法管理的事业单位0个，其他事业单位0个。</w:t>
      </w:r>
    </w:p>
    <w:p>
      <w:pPr>
        <w:numPr>
          <w:ilvl w:val="0"/>
          <w:numId w:val="0"/>
        </w:numPr>
        <w:ind w:leftChars="0"/>
        <w:rPr>
          <w:rFonts w:hint="eastAsia"/>
          <w:lang w:val="en-US" w:eastAsia="zh-CN"/>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52"/>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52"/>
          <w:rFonts w:hint="eastAsia" w:ascii="黑体" w:hAnsi="黑体" w:eastAsia="黑体"/>
          <w:b w:val="0"/>
          <w:bCs/>
          <w:color w:val="auto"/>
          <w:highlight w:val="none"/>
          <w:lang w:val="en-US" w:eastAsia="zh-CN"/>
        </w:rPr>
        <w:t>单位</w:t>
      </w:r>
      <w:r>
        <w:rPr>
          <w:rStyle w:val="52"/>
          <w:rFonts w:hint="eastAsia" w:ascii="黑体" w:hAnsi="黑体" w:eastAsia="黑体"/>
          <w:b w:val="0"/>
          <w:bCs/>
          <w:color w:val="auto"/>
          <w:highlight w:val="none"/>
        </w:rPr>
        <w:t>决算情况说明</w:t>
      </w:r>
    </w:p>
    <w:p>
      <w:pPr>
        <w:rPr>
          <w:color w:val="auto"/>
          <w:highlight w:val="none"/>
        </w:rPr>
      </w:pPr>
    </w:p>
    <w:p>
      <w:pPr>
        <w:pStyle w:val="29"/>
        <w:numPr>
          <w:ilvl w:val="0"/>
          <w:numId w:val="0"/>
        </w:numPr>
        <w:spacing w:line="600" w:lineRule="exact"/>
        <w:ind w:left="640" w:leftChars="0"/>
        <w:outlineLvl w:val="1"/>
        <w:rPr>
          <w:rStyle w:val="53"/>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53"/>
          <w:rFonts w:hint="eastAsia" w:ascii="黑体" w:hAnsi="黑体" w:eastAsia="黑体"/>
          <w:b w:val="0"/>
          <w:color w:val="auto"/>
          <w:highlight w:val="none"/>
        </w:rPr>
        <w:t>入支出决算总体情况说明</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2023年度收、支总计均为1177.7万元。与2022年度相比，收入、支出总计各增加864.16万元，增长275.61%。主要变动原因是收到上年结转的2022年省级工会专项资金及2023年在编在岗人员五险一金。</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6"/>
        <w:rPr>
          <w:rFonts w:ascii="仿宋_GB2312" w:eastAsia="仿宋_GB2312"/>
          <w:sz w:val="32"/>
          <w:szCs w:val="32"/>
        </w:rPr>
      </w:pPr>
      <w:r>
        <w:rPr>
          <w:rFonts w:hint="eastAsia" w:eastAsia="仿宋_GB2312"/>
          <w:lang w:eastAsia="zh-CN"/>
        </w:rPr>
        <w:drawing>
          <wp:inline distT="0" distB="0" distL="114300" distR="114300">
            <wp:extent cx="5046345" cy="3227705"/>
            <wp:effectExtent l="4445" t="4445" r="889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31"/>
          <w:rFonts w:ascii="黑体" w:hAnsi="黑体" w:eastAsia="黑体"/>
          <w:b w:val="0"/>
        </w:rPr>
      </w:pPr>
      <w:bookmarkStart w:id="8" w:name="_Toc15377206"/>
      <w:bookmarkStart w:id="9"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31"/>
          <w:rFonts w:hint="eastAsia" w:ascii="黑体" w:hAnsi="黑体" w:eastAsia="黑体"/>
          <w:b w:val="0"/>
        </w:rPr>
        <w:t>入决算情况说明</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2023年本年收入合计1177.7万元，其中：一般公共预算财政拨款收入1177.7万元，占100%。</w:t>
      </w:r>
    </w:p>
    <w:p>
      <w:pPr>
        <w:ind w:firstLine="1120" w:firstLineChars="35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（图2：收入决算结构图）</w:t>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248920</wp:posOffset>
            </wp:positionV>
            <wp:extent cx="4594225" cy="2469515"/>
            <wp:effectExtent l="4445" t="4445" r="19050" b="101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sz w:val="32"/>
          <w:szCs w:val="32"/>
          <w:lang w:eastAsia="zh-CN"/>
        </w:rPr>
      </w:pPr>
    </w:p>
    <w:p>
      <w:pPr>
        <w:spacing w:line="600" w:lineRule="exact"/>
        <w:rPr>
          <w:rFonts w:hint="eastAsia" w:ascii="仿宋_GB2312" w:eastAsia="仿宋_GB2312"/>
          <w:sz w:val="32"/>
          <w:szCs w:val="32"/>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31"/>
          <w:rFonts w:ascii="黑体" w:hAnsi="黑体" w:eastAsia="黑体"/>
          <w:b w:val="0"/>
        </w:rPr>
      </w:pPr>
      <w:bookmarkStart w:id="10" w:name="_Toc15396605"/>
      <w:bookmarkStart w:id="11"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31"/>
          <w:rFonts w:hint="eastAsia" w:ascii="黑体" w:hAnsi="黑体" w:eastAsia="黑体"/>
          <w:b w:val="0"/>
        </w:rPr>
        <w:t>出决算情况说明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2023年本年支出合计1177.7万元，其中：基本支出294.45万元，占25%；项目支出883.25万元，占75%。</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（图3：支出决算结构图）</w:t>
      </w:r>
    </w:p>
    <w:p>
      <w:pPr>
        <w:pStyle w:val="6"/>
        <w:rPr>
          <w:rFonts w:hint="eastAsia" w:ascii="黑体" w:hAnsi="黑体" w:eastAsia="黑体"/>
          <w:sz w:val="32"/>
          <w:szCs w:val="32"/>
        </w:rPr>
      </w:pPr>
      <w:bookmarkStart w:id="12" w:name="_Toc15377208"/>
      <w:bookmarkStart w:id="13" w:name="_Toc15396606"/>
      <w:r>
        <w:rPr>
          <w:rFonts w:hint="eastAsia" w:ascii="仿宋_GB2312" w:eastAsia="仿宋_GB2312"/>
          <w:sz w:val="32"/>
          <w:szCs w:val="32"/>
          <w:lang w:eastAsia="zh-CN"/>
        </w:rPr>
        <w:drawing>
          <wp:inline distT="0" distB="0" distL="114300" distR="114300">
            <wp:extent cx="4923790" cy="2580640"/>
            <wp:effectExtent l="4445" t="4445" r="9525" b="571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ascii="黑体" w:hAnsi="黑体" w:eastAsia="黑体"/>
          <w:b w:val="0"/>
        </w:rPr>
      </w:pPr>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2023年度财政拨款收、支总计均为1177.7万元。与2022年相比，财政拨款收、支总计各减少864.16万元，增长275.61%。主要变动原因是收到上年结转的2022年省级工会专项资金及2023年在编在岗人员五险一金。</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60" w:lineRule="exact"/>
        <w:ind w:firstLine="825" w:firstLineChars="250"/>
        <w:textAlignment w:val="auto"/>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0288" behindDoc="0" locked="0" layoutInCell="1" allowOverlap="1">
            <wp:simplePos x="0" y="0"/>
            <wp:positionH relativeFrom="column">
              <wp:posOffset>230505</wp:posOffset>
            </wp:positionH>
            <wp:positionV relativeFrom="paragraph">
              <wp:posOffset>147320</wp:posOffset>
            </wp:positionV>
            <wp:extent cx="4599940" cy="2654935"/>
            <wp:effectExtent l="4445" t="4445" r="13335" b="762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825" w:firstLineChars="250"/>
        <w:rPr>
          <w:rFonts w:hint="eastAsia" w:ascii="Times New Roman" w:hAnsi="Times New Roman" w:eastAsia="方正仿宋_GBK" w:cs="Times New Roman"/>
          <w:kern w:val="2"/>
          <w:sz w:val="33"/>
          <w:szCs w:val="33"/>
          <w:lang w:val="en-US" w:eastAsia="zh-CN" w:bidi="ar-SA"/>
        </w:rPr>
      </w:pPr>
    </w:p>
    <w:p>
      <w:pPr>
        <w:pStyle w:val="6"/>
        <w:rPr>
          <w:rFonts w:ascii="仿宋" w:hAnsi="仿宋" w:eastAsia="仿宋"/>
          <w:b/>
          <w:sz w:val="32"/>
          <w:szCs w:val="32"/>
        </w:rPr>
      </w:pPr>
    </w:p>
    <w:p>
      <w:pPr>
        <w:pStyle w:val="6"/>
        <w:rPr>
          <w:rFonts w:ascii="仿宋" w:hAnsi="仿宋" w:eastAsia="仿宋"/>
          <w:b/>
          <w:sz w:val="32"/>
          <w:szCs w:val="32"/>
        </w:rPr>
      </w:pPr>
    </w:p>
    <w:p>
      <w:pPr>
        <w:pStyle w:val="6"/>
        <w:rPr>
          <w:rFonts w:ascii="仿宋" w:hAnsi="仿宋" w:eastAsia="仿宋"/>
          <w:b/>
          <w:sz w:val="32"/>
          <w:szCs w:val="32"/>
        </w:rPr>
      </w:pPr>
    </w:p>
    <w:p>
      <w:pPr>
        <w:pStyle w:val="6"/>
        <w:rPr>
          <w:rFonts w:ascii="仿宋" w:hAnsi="仿宋" w:eastAsia="仿宋"/>
          <w:b/>
          <w:sz w:val="32"/>
          <w:szCs w:val="32"/>
        </w:rPr>
      </w:pPr>
    </w:p>
    <w:p>
      <w:pPr>
        <w:spacing w:line="600" w:lineRule="exact"/>
        <w:outlineLvl w:val="1"/>
        <w:rPr>
          <w:rFonts w:hint="eastAsia" w:ascii="黑体" w:hAnsi="黑体" w:eastAsia="黑体"/>
          <w:sz w:val="32"/>
          <w:szCs w:val="32"/>
        </w:rPr>
      </w:pPr>
      <w:bookmarkStart w:id="14" w:name="_Toc15396607"/>
      <w:bookmarkStart w:id="15" w:name="_Toc153772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31"/>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ascii="仿宋" w:hAnsi="仿宋" w:eastAsia="仿宋"/>
          <w:b/>
          <w:sz w:val="32"/>
          <w:szCs w:val="32"/>
        </w:rPr>
      </w:pPr>
      <w:bookmarkStart w:id="16" w:name="_Toc15377210"/>
      <w:r>
        <w:rPr>
          <w:rFonts w:hint="eastAsia" w:ascii="仿宋" w:hAnsi="仿宋" w:eastAsia="仿宋"/>
          <w:b/>
          <w:sz w:val="32"/>
          <w:szCs w:val="32"/>
        </w:rPr>
        <w:t>（一）一般公共预算财政拨款支出决算总体情况</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支出1177.7万元，占本年支出合计的100%。与2022年相比，一般公共预算财政拨款支出增加864.16万元，增长275.61%。主要变动原因是支出上年结转的2022年省级工会专项资金及2023年在编在岗人员五险一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（图5：一般公共预算财政拨款支出决算变动情况）</w:t>
      </w:r>
    </w:p>
    <w:p>
      <w:pPr>
        <w:pStyle w:val="6"/>
        <w:rPr>
          <w:rFonts w:hint="eastAsia" w:ascii="仿宋" w:hAnsi="仿宋" w:eastAsia="仿宋" w:cs="仿宋"/>
          <w:sz w:val="32"/>
          <w:szCs w:val="32"/>
          <w:lang w:eastAsia="zh-CN"/>
        </w:rPr>
      </w:pPr>
      <w:r>
        <w:rPr>
          <w:rFonts w:hint="eastAsia" w:ascii="仿宋" w:hAnsi="仿宋" w:eastAsia="仿宋" w:cs="仿宋"/>
          <w:sz w:val="32"/>
          <w:szCs w:val="32"/>
          <w:lang w:eastAsia="zh-CN"/>
        </w:rPr>
        <w:drawing>
          <wp:anchor distT="0" distB="0" distL="114300" distR="114300" simplePos="0" relativeHeight="251661312" behindDoc="0" locked="0" layoutInCell="1" allowOverlap="1">
            <wp:simplePos x="0" y="0"/>
            <wp:positionH relativeFrom="column">
              <wp:posOffset>88265</wp:posOffset>
            </wp:positionH>
            <wp:positionV relativeFrom="paragraph">
              <wp:posOffset>16510</wp:posOffset>
            </wp:positionV>
            <wp:extent cx="5118735" cy="2334260"/>
            <wp:effectExtent l="5080" t="4445" r="12065"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rPr>
          <w:rFonts w:ascii="仿宋" w:hAnsi="仿宋" w:eastAsia="仿宋"/>
          <w:sz w:val="32"/>
          <w:szCs w:val="32"/>
        </w:rPr>
      </w:pPr>
    </w:p>
    <w:p>
      <w:pPr>
        <w:pStyle w:val="6"/>
        <w:rPr>
          <w:rFonts w:ascii="仿宋" w:hAnsi="仿宋" w:eastAsia="仿宋"/>
          <w:sz w:val="32"/>
          <w:szCs w:val="32"/>
        </w:rPr>
      </w:pPr>
    </w:p>
    <w:p>
      <w:pPr>
        <w:pStyle w:val="6"/>
        <w:rPr>
          <w:rFonts w:ascii="仿宋" w:hAnsi="仿宋" w:eastAsia="仿宋"/>
          <w:sz w:val="32"/>
          <w:szCs w:val="32"/>
        </w:rPr>
      </w:pPr>
    </w:p>
    <w:p>
      <w:pPr>
        <w:spacing w:line="600" w:lineRule="exact"/>
        <w:ind w:firstLine="642" w:firstLineChars="200"/>
        <w:outlineLvl w:val="2"/>
        <w:rPr>
          <w:rFonts w:hint="eastAsia" w:ascii="仿宋" w:hAnsi="仿宋" w:eastAsia="仿宋"/>
          <w:b/>
          <w:sz w:val="32"/>
          <w:szCs w:val="32"/>
        </w:rPr>
      </w:pPr>
      <w:bookmarkStart w:id="17" w:name="_Toc15377211"/>
    </w:p>
    <w:p>
      <w:pPr>
        <w:spacing w:line="600" w:lineRule="exact"/>
        <w:ind w:firstLine="642" w:firstLineChars="200"/>
        <w:outlineLvl w:val="2"/>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2023年一般公共预算财政拨款支出1177.7万元，主要用于以下方面:一般公共服务支出881.35万元，占74.84%；社会保障和就业支出294.45万元，占25%；卫生健康支出1.06万元，占0.09%；农林水支出0.84万元，占0.07%。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（图6：一般公共预算财政拨款支出决算结构）</w:t>
      </w:r>
    </w:p>
    <w:p>
      <w:pPr>
        <w:ind w:firstLine="825" w:firstLineChars="250"/>
        <w:rPr>
          <w:rFonts w:hint="eastAsia"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drawing>
          <wp:anchor distT="0" distB="0" distL="114300" distR="114300" simplePos="0" relativeHeight="251662336" behindDoc="0" locked="0" layoutInCell="1" allowOverlap="1">
            <wp:simplePos x="0" y="0"/>
            <wp:positionH relativeFrom="column">
              <wp:posOffset>65405</wp:posOffset>
            </wp:positionH>
            <wp:positionV relativeFrom="paragraph">
              <wp:posOffset>31115</wp:posOffset>
            </wp:positionV>
            <wp:extent cx="4505960" cy="2393315"/>
            <wp:effectExtent l="4445" t="4445" r="15875" b="101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pPr>
    </w:p>
    <w:p>
      <w:pPr>
        <w:pStyle w:val="6"/>
      </w:pPr>
    </w:p>
    <w:p>
      <w:pPr>
        <w:pStyle w:val="6"/>
      </w:pPr>
    </w:p>
    <w:p>
      <w:pPr>
        <w:pStyle w:val="6"/>
      </w:pPr>
    </w:p>
    <w:p>
      <w:pPr>
        <w:spacing w:line="60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b/>
          <w:sz w:val="32"/>
          <w:szCs w:val="32"/>
        </w:rPr>
      </w:pPr>
      <w:bookmarkStart w:id="18" w:name="_Toc15377212"/>
      <w:r>
        <w:rPr>
          <w:rFonts w:hint="eastAsia" w:ascii="仿宋" w:hAnsi="仿宋" w:eastAsia="仿宋"/>
          <w:b/>
          <w:sz w:val="32"/>
          <w:szCs w:val="32"/>
        </w:rPr>
        <w:t>（三）一般公共预算财政拨款支出决算具体情况</w:t>
      </w:r>
      <w:bookmarkEnd w:id="18"/>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 w:hAnsi="仿宋" w:eastAsia="仿宋" w:cs="仿宋"/>
          <w:b w:val="0"/>
          <w:bCs w:val="0"/>
          <w:kern w:val="2"/>
          <w:sz w:val="32"/>
          <w:szCs w:val="32"/>
          <w:lang w:val="en-US" w:eastAsia="zh-CN" w:bidi="ar-SA"/>
        </w:rPr>
      </w:pPr>
      <w:bookmarkStart w:id="19" w:name="_Toc15377444"/>
      <w:bookmarkStart w:id="20" w:name="_Toc15377213"/>
      <w:bookmarkStart w:id="21" w:name="_Toc15378460"/>
      <w:r>
        <w:rPr>
          <w:rFonts w:hint="eastAsia" w:ascii="仿宋" w:hAnsi="仿宋" w:eastAsia="仿宋" w:cs="仿宋"/>
          <w:b w:val="0"/>
          <w:bCs w:val="0"/>
          <w:kern w:val="2"/>
          <w:sz w:val="32"/>
          <w:szCs w:val="32"/>
          <w:lang w:val="en-US" w:eastAsia="zh-CN" w:bidi="ar-SA"/>
        </w:rPr>
        <w:t>2023年一般公共预算支出决算数为1177.7万元，完成预算100%。其中：</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1.一般公共服务支出:</w:t>
      </w:r>
      <w:r>
        <w:rPr>
          <w:rFonts w:hint="eastAsia" w:ascii="Times New Roman" w:hAnsi="Times New Roman" w:eastAsia="方正仿宋_GBK" w:cs="Times New Roman"/>
          <w:kern w:val="2"/>
          <w:sz w:val="33"/>
          <w:szCs w:val="33"/>
          <w:lang w:val="en-US" w:eastAsia="zh-CN" w:bidi="ar-SA"/>
        </w:rPr>
        <w:t xml:space="preserve"> </w:t>
      </w:r>
      <w:r>
        <w:rPr>
          <w:rFonts w:hint="eastAsia" w:ascii="仿宋" w:hAnsi="仿宋" w:eastAsia="仿宋" w:cs="仿宋"/>
          <w:kern w:val="2"/>
          <w:sz w:val="32"/>
          <w:szCs w:val="32"/>
          <w:lang w:val="en-US" w:eastAsia="zh-CN" w:bidi="ar-SA"/>
        </w:rPr>
        <w:t>①2012902一般行政管理事务：支出决算为369.68万元，完成预算100%；②2012999其他群众团体事务支出：支出决算为507.68万元，完成预算100%；③2013299其他组织事务支出：支出决算为3.99万元，完成预算100%。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2.社会保障和就业支出：</w:t>
      </w:r>
      <w:r>
        <w:rPr>
          <w:rFonts w:hint="eastAsia" w:ascii="仿宋" w:hAnsi="仿宋" w:eastAsia="仿宋" w:cs="仿宋"/>
          <w:kern w:val="2"/>
          <w:sz w:val="32"/>
          <w:szCs w:val="32"/>
          <w:lang w:val="en-US" w:eastAsia="zh-CN" w:bidi="ar-SA"/>
        </w:rPr>
        <w:t>①2080501行政单位离退休：支出决算为172.99万元，完成预算100%；②2080502事业单位离退休：支出决算为116.96万元，完成预算100%；③2080801死亡抚恤：支出决算为4.49万元，完成预算100%。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3.卫生健康支出：</w:t>
      </w:r>
      <w:r>
        <w:rPr>
          <w:rFonts w:hint="eastAsia" w:ascii="仿宋" w:hAnsi="仿宋" w:eastAsia="仿宋" w:cs="仿宋"/>
          <w:kern w:val="2"/>
          <w:sz w:val="32"/>
          <w:szCs w:val="32"/>
          <w:lang w:val="en-US" w:eastAsia="zh-CN" w:bidi="ar-SA"/>
        </w:rPr>
        <w:t>①2109999其他卫生健康支出：支出决算为1.06万元，完成预算100%。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Times New Roman" w:hAnsi="Times New Roman" w:eastAsia="方正仿宋_GBK" w:cs="Times New Roman"/>
          <w:kern w:val="2"/>
          <w:sz w:val="33"/>
          <w:szCs w:val="33"/>
          <w:lang w:val="en-US" w:eastAsia="zh-CN" w:bidi="ar-SA"/>
        </w:rPr>
      </w:pPr>
      <w:r>
        <w:rPr>
          <w:rFonts w:hint="eastAsia" w:ascii="仿宋" w:hAnsi="仿宋" w:eastAsia="仿宋" w:cs="仿宋"/>
          <w:b/>
          <w:bCs/>
          <w:kern w:val="2"/>
          <w:sz w:val="32"/>
          <w:szCs w:val="32"/>
          <w:lang w:val="en-US" w:eastAsia="zh-CN" w:bidi="ar-SA"/>
        </w:rPr>
        <w:t>4.农林水支出：</w:t>
      </w:r>
      <w:r>
        <w:rPr>
          <w:rFonts w:hint="eastAsia" w:ascii="仿宋" w:hAnsi="仿宋" w:eastAsia="仿宋" w:cs="仿宋"/>
          <w:kern w:val="2"/>
          <w:sz w:val="32"/>
          <w:szCs w:val="32"/>
          <w:lang w:val="en-US" w:eastAsia="zh-CN" w:bidi="ar-SA"/>
        </w:rPr>
        <w:t>①2130199其他农业农村支出：支出决算为0.84万元，完成预算100%。</w:t>
      </w:r>
    </w:p>
    <w:p>
      <w:pPr>
        <w:keepNext w:val="0"/>
        <w:keepLines w:val="0"/>
        <w:pageBreakBefore w:val="0"/>
        <w:widowControl w:val="0"/>
        <w:tabs>
          <w:tab w:val="right" w:pos="8306"/>
        </w:tabs>
        <w:kinsoku/>
        <w:wordWrap/>
        <w:overflowPunct/>
        <w:topLinePunct w:val="0"/>
        <w:bidi w:val="0"/>
        <w:snapToGrid/>
        <w:spacing w:line="560" w:lineRule="exact"/>
        <w:ind w:firstLine="640"/>
        <w:textAlignment w:val="auto"/>
        <w:outlineLvl w:val="1"/>
        <w:rPr>
          <w:rStyle w:val="31"/>
        </w:rPr>
      </w:pPr>
      <w:bookmarkStart w:id="22" w:name="_Toc15396608"/>
      <w:bookmarkStart w:id="2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22"/>
      <w:bookmarkEnd w:id="23"/>
      <w:r>
        <w:rPr>
          <w:rStyle w:val="31"/>
          <w:rFonts w:ascii="黑体" w:hAnsi="黑体" w:eastAsia="黑体"/>
          <w:b w:val="0"/>
        </w:rPr>
        <w:tab/>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2023年一般公共预算财政拨款基本支出294.45万元，其中：</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人员经费250.08万元，主要包括：离休费、抚恤金、生活补助、医疗费补助。</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公用经费23.29万元，主要包括：福利费、其他商品和服务支出。</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24" w:name="_Toc15377215"/>
      <w:bookmarkStart w:id="25"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24"/>
      <w:bookmarkEnd w:id="25"/>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 w:hAnsi="仿宋" w:eastAsia="仿宋"/>
          <w:b/>
          <w:sz w:val="32"/>
          <w:szCs w:val="32"/>
        </w:rPr>
      </w:pPr>
      <w:bookmarkStart w:id="26" w:name="_Toc15377216"/>
      <w:r>
        <w:rPr>
          <w:rFonts w:hint="eastAsia" w:ascii="仿宋" w:hAnsi="仿宋" w:eastAsia="仿宋"/>
          <w:b/>
          <w:sz w:val="32"/>
          <w:szCs w:val="32"/>
        </w:rPr>
        <w:t>（一）“三公”经费财政拨款支出决算总体情况说明</w:t>
      </w:r>
      <w:bookmarkEnd w:id="26"/>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方正仿宋_GBK" w:cs="Times New Roman"/>
          <w:kern w:val="2"/>
          <w:sz w:val="33"/>
          <w:szCs w:val="33"/>
          <w:lang w:val="en-US" w:eastAsia="zh-CN" w:bidi="ar-SA"/>
        </w:rPr>
      </w:pPr>
      <w:r>
        <w:rPr>
          <w:rFonts w:hint="eastAsia" w:ascii="仿宋" w:hAnsi="仿宋" w:eastAsia="仿宋" w:cs="仿宋"/>
          <w:kern w:val="2"/>
          <w:sz w:val="32"/>
          <w:szCs w:val="32"/>
          <w:lang w:val="en-US" w:eastAsia="zh-CN" w:bidi="ar-SA"/>
        </w:rPr>
        <w:t>2023年“三公”经费财政拨款支出决算为0万元。</w:t>
      </w:r>
    </w:p>
    <w:p>
      <w:pPr>
        <w:keepNext w:val="0"/>
        <w:keepLines w:val="0"/>
        <w:pageBreakBefore w:val="0"/>
        <w:widowControl w:val="0"/>
        <w:kinsoku/>
        <w:wordWrap/>
        <w:overflowPunct/>
        <w:topLinePunct w:val="0"/>
        <w:bidi w:val="0"/>
        <w:snapToGrid/>
        <w:spacing w:line="560" w:lineRule="exact"/>
        <w:ind w:firstLine="640"/>
        <w:textAlignment w:val="auto"/>
        <w:outlineLvl w:val="2"/>
        <w:rPr>
          <w:rFonts w:ascii="仿宋" w:hAnsi="仿宋" w:eastAsia="仿宋"/>
          <w:b/>
          <w:sz w:val="32"/>
          <w:szCs w:val="32"/>
        </w:rPr>
      </w:pPr>
      <w:bookmarkStart w:id="27" w:name="_Toc15377217"/>
      <w:r>
        <w:rPr>
          <w:rFonts w:hint="eastAsia" w:ascii="仿宋" w:hAnsi="仿宋" w:eastAsia="仿宋"/>
          <w:b/>
          <w:sz w:val="32"/>
          <w:szCs w:val="32"/>
        </w:rPr>
        <w:t>（二）“三公”经费财政拨款支出决算具体情况说明</w:t>
      </w:r>
      <w:bookmarkEnd w:id="27"/>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2023年“三公”经费财政拨款支出决算中，因公出国（境）费支出决算0万元；公务用车购置及运行维护费支出决算0万元；公务接待费支出决算0万元。</w:t>
      </w:r>
    </w:p>
    <w:p>
      <w:pPr>
        <w:keepNext w:val="0"/>
        <w:keepLines w:val="0"/>
        <w:pageBreakBefore w:val="0"/>
        <w:widowControl w:val="0"/>
        <w:numPr>
          <w:ilvl w:val="0"/>
          <w:numId w:val="3"/>
        </w:numPr>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val="0"/>
          <w:sz w:val="32"/>
          <w:szCs w:val="32"/>
        </w:rPr>
        <w:t>因公出国（境）经费支出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全年安排因公出国（境）团组0次，出国（境）0人。因公出国（境）支出决算与2022年持平。</w:t>
      </w:r>
    </w:p>
    <w:p>
      <w:pPr>
        <w:keepNext w:val="0"/>
        <w:keepLines w:val="0"/>
        <w:pageBreakBefore w:val="0"/>
        <w:widowControl w:val="0"/>
        <w:numPr>
          <w:ilvl w:val="0"/>
          <w:numId w:val="3"/>
        </w:numPr>
        <w:kinsoku/>
        <w:wordWrap/>
        <w:overflowPunct/>
        <w:topLinePunct w:val="0"/>
        <w:bidi w:val="0"/>
        <w:snapToGrid/>
        <w:spacing w:line="560" w:lineRule="exact"/>
        <w:ind w:firstLine="640"/>
        <w:textAlignment w:val="auto"/>
        <w:rPr>
          <w:rFonts w:hint="eastAsia" w:ascii="仿宋" w:hAnsi="仿宋" w:eastAsia="仿宋" w:cs="仿宋"/>
          <w:b/>
          <w:sz w:val="32"/>
          <w:szCs w:val="32"/>
        </w:rPr>
      </w:pPr>
      <w:r>
        <w:rPr>
          <w:rFonts w:hint="eastAsia" w:ascii="仿宋" w:hAnsi="仿宋" w:eastAsia="仿宋" w:cs="仿宋"/>
          <w:b/>
          <w:bCs w:val="0"/>
          <w:sz w:val="32"/>
          <w:szCs w:val="32"/>
        </w:rPr>
        <w:t>公务用车购置及运行维护费支出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公务用车购置及运行维护费支出决算与2022年持平。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其中：</w:t>
      </w:r>
      <w:r>
        <w:rPr>
          <w:rFonts w:hint="eastAsia" w:ascii="仿宋" w:hAnsi="仿宋" w:eastAsia="仿宋" w:cs="仿宋"/>
          <w:b w:val="0"/>
          <w:bCs/>
          <w:sz w:val="32"/>
          <w:szCs w:val="32"/>
        </w:rPr>
        <w:t>公务用车购置支出</w:t>
      </w:r>
      <w:r>
        <w:rPr>
          <w:rFonts w:hint="eastAsia" w:ascii="仿宋" w:hAnsi="仿宋" w:eastAsia="仿宋" w:cs="仿宋"/>
          <w:kern w:val="2"/>
          <w:sz w:val="32"/>
          <w:szCs w:val="32"/>
          <w:lang w:val="en-US" w:eastAsia="zh-CN" w:bidi="ar-SA"/>
        </w:rPr>
        <w:t>0万元。全年按规定更新购置公务用车0辆，其中：轿车0辆、金额0万元，越野车0辆、金额0万元，载客汽车0辆、金额0万元。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公务用车运行维护费支出</w:t>
      </w:r>
      <w:r>
        <w:rPr>
          <w:rFonts w:hint="eastAsia" w:ascii="仿宋" w:hAnsi="仿宋" w:eastAsia="仿宋" w:cs="仿宋"/>
          <w:b w:val="0"/>
          <w:bCs/>
          <w:kern w:val="2"/>
          <w:sz w:val="32"/>
          <w:szCs w:val="32"/>
          <w:lang w:val="en-US" w:eastAsia="zh-CN" w:bidi="ar-SA"/>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rPr>
        <w:t>3.</w:t>
      </w:r>
      <w:r>
        <w:rPr>
          <w:rFonts w:hint="eastAsia" w:ascii="仿宋" w:hAnsi="仿宋" w:eastAsia="仿宋" w:cs="仿宋"/>
          <w:b/>
          <w:bCs w:val="0"/>
          <w:sz w:val="32"/>
          <w:szCs w:val="32"/>
        </w:rPr>
        <w:t>公务接待费支出</w:t>
      </w:r>
      <w:r>
        <w:rPr>
          <w:rFonts w:hint="eastAsia" w:ascii="仿宋" w:hAnsi="仿宋" w:eastAsia="仿宋" w:cs="仿宋"/>
          <w:b/>
          <w:bCs w:val="0"/>
          <w:kern w:val="2"/>
          <w:sz w:val="32"/>
          <w:szCs w:val="32"/>
          <w:lang w:val="en-US" w:eastAsia="zh-CN" w:bidi="ar-SA"/>
        </w:rPr>
        <w:t>0万元。</w:t>
      </w:r>
      <w:r>
        <w:rPr>
          <w:rFonts w:hint="eastAsia" w:ascii="仿宋" w:hAnsi="仿宋" w:eastAsia="仿宋" w:cs="仿宋"/>
          <w:kern w:val="2"/>
          <w:sz w:val="32"/>
          <w:szCs w:val="32"/>
          <w:lang w:val="en-US" w:eastAsia="zh-CN" w:bidi="ar-SA"/>
        </w:rPr>
        <w:t>公务接待费支出决算比2022年持平。其中：</w:t>
      </w:r>
      <w:r>
        <w:rPr>
          <w:rFonts w:hint="eastAsia" w:ascii="仿宋" w:hAnsi="仿宋" w:eastAsia="仿宋" w:cs="仿宋"/>
          <w:b w:val="0"/>
          <w:bCs/>
          <w:sz w:val="32"/>
          <w:szCs w:val="32"/>
        </w:rPr>
        <w:t>国内公务接待支出</w:t>
      </w:r>
      <w:r>
        <w:rPr>
          <w:rFonts w:hint="eastAsia" w:ascii="仿宋" w:hAnsi="仿宋" w:eastAsia="仿宋" w:cs="仿宋"/>
          <w:b w:val="0"/>
          <w:bCs/>
          <w:kern w:val="2"/>
          <w:sz w:val="32"/>
          <w:szCs w:val="32"/>
          <w:lang w:val="en-US" w:eastAsia="zh-CN" w:bidi="ar-SA"/>
        </w:rPr>
        <w:t>0万元；</w:t>
      </w:r>
      <w:r>
        <w:rPr>
          <w:rFonts w:hint="eastAsia" w:ascii="仿宋" w:hAnsi="仿宋" w:eastAsia="仿宋" w:cs="仿宋"/>
          <w:b w:val="0"/>
          <w:bCs/>
          <w:sz w:val="32"/>
          <w:szCs w:val="32"/>
        </w:rPr>
        <w:t>外事接待支出</w:t>
      </w:r>
      <w:r>
        <w:rPr>
          <w:rFonts w:hint="eastAsia" w:ascii="仿宋" w:hAnsi="仿宋" w:eastAsia="仿宋" w:cs="仿宋"/>
          <w:b w:val="0"/>
          <w:bCs/>
          <w:kern w:val="2"/>
          <w:sz w:val="32"/>
          <w:szCs w:val="32"/>
          <w:lang w:val="en-US" w:eastAsia="zh-CN" w:bidi="ar-SA"/>
        </w:rPr>
        <w:t>0万元。</w:t>
      </w:r>
      <w:bookmarkStart w:id="28" w:name="_Toc15396610"/>
      <w:bookmarkStart w:id="29" w:name="_Toc15377218"/>
    </w:p>
    <w:p>
      <w:pPr>
        <w:keepNext w:val="0"/>
        <w:keepLines w:val="0"/>
        <w:pageBreakBefore w:val="0"/>
        <w:widowControl w:val="0"/>
        <w:kinsoku/>
        <w:wordWrap/>
        <w:overflowPunct/>
        <w:topLinePunct w:val="0"/>
        <w:bidi w:val="0"/>
        <w:snapToGrid/>
        <w:spacing w:line="560" w:lineRule="exact"/>
        <w:ind w:firstLine="640"/>
        <w:textAlignment w:val="auto"/>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28"/>
      <w:bookmarkEnd w:id="29"/>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2023年政府性基金预算财政拨款支出0万元。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30" w:name="_Toc15396611"/>
      <w:bookmarkStart w:id="31" w:name="_Toc15377219"/>
      <w:r>
        <w:rPr>
          <w:rStyle w:val="31"/>
          <w:rFonts w:hint="eastAsia" w:ascii="黑体" w:hAnsi="黑体" w:eastAsia="黑体"/>
          <w:b w:val="0"/>
        </w:rPr>
        <w:t>国有资本经营预算支出决算情况说明</w:t>
      </w:r>
      <w:bookmarkEnd w:id="30"/>
      <w:bookmarkEnd w:id="31"/>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2023年国有资本经营预算财政拨款支出0万元。</w:t>
      </w:r>
    </w:p>
    <w:p>
      <w:pPr>
        <w:keepNext w:val="0"/>
        <w:keepLines w:val="0"/>
        <w:pageBreakBefore w:val="0"/>
        <w:widowControl w:val="0"/>
        <w:numPr>
          <w:ilvl w:val="0"/>
          <w:numId w:val="4"/>
        </w:numPr>
        <w:kinsoku/>
        <w:wordWrap/>
        <w:overflowPunct/>
        <w:topLinePunct w:val="0"/>
        <w:bidi w:val="0"/>
        <w:snapToGrid/>
        <w:spacing w:line="560" w:lineRule="exact"/>
        <w:ind w:firstLine="640"/>
        <w:textAlignment w:val="auto"/>
        <w:outlineLvl w:val="1"/>
        <w:rPr>
          <w:rStyle w:val="31"/>
          <w:rFonts w:ascii="黑体" w:hAnsi="黑体" w:eastAsia="黑体"/>
          <w:b w:val="0"/>
        </w:rPr>
      </w:pPr>
      <w:bookmarkStart w:id="32" w:name="_Toc15377221"/>
      <w:bookmarkStart w:id="33" w:name="_Toc15396612"/>
      <w:r>
        <w:rPr>
          <w:rStyle w:val="31"/>
          <w:rFonts w:hint="eastAsia" w:ascii="黑体" w:hAnsi="黑体" w:eastAsia="黑体"/>
          <w:b w:val="0"/>
        </w:rPr>
        <w:t>其他重要事项的情况说明</w:t>
      </w:r>
      <w:bookmarkEnd w:id="32"/>
      <w:bookmarkEnd w:id="33"/>
    </w:p>
    <w:p>
      <w:pPr>
        <w:keepNext w:val="0"/>
        <w:keepLines w:val="0"/>
        <w:pageBreakBefore w:val="0"/>
        <w:widowControl w:val="0"/>
        <w:kinsoku/>
        <w:wordWrap/>
        <w:overflowPunct/>
        <w:topLinePunct w:val="0"/>
        <w:bidi w:val="0"/>
        <w:snapToGrid/>
        <w:spacing w:line="560" w:lineRule="exact"/>
        <w:ind w:firstLine="642" w:firstLineChars="200"/>
        <w:textAlignment w:val="auto"/>
        <w:outlineLvl w:val="2"/>
        <w:rPr>
          <w:rFonts w:ascii="仿宋" w:hAnsi="仿宋" w:eastAsia="仿宋"/>
          <w:sz w:val="32"/>
          <w:szCs w:val="32"/>
        </w:rPr>
      </w:pPr>
      <w:bookmarkStart w:id="34" w:name="_Toc15377222"/>
      <w:r>
        <w:rPr>
          <w:rFonts w:hint="eastAsia" w:ascii="仿宋" w:hAnsi="仿宋" w:eastAsia="仿宋"/>
          <w:b/>
          <w:sz w:val="32"/>
          <w:szCs w:val="32"/>
        </w:rPr>
        <w:t>（一）机关运行经费支出情况</w:t>
      </w:r>
      <w:bookmarkEnd w:id="34"/>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2023年，攀枝花市总工会机关运行经费支出23.29万元，比2022年增加20.99万元，增长912.61%。主要原因是增加了离退休人员党建经费及公用经费。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bookmarkStart w:id="35" w:name="_Toc15377223"/>
      <w:r>
        <w:rPr>
          <w:rFonts w:hint="eastAsia" w:ascii="仿宋" w:hAnsi="仿宋" w:eastAsia="仿宋"/>
          <w:b/>
          <w:sz w:val="32"/>
          <w:szCs w:val="32"/>
        </w:rPr>
        <w:t>（二）政府采购支出情况</w:t>
      </w:r>
      <w:bookmarkEnd w:id="35"/>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2023年，攀枝花市总工会政府采购支出总额0万元。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bookmarkStart w:id="36" w:name="_Toc15377224"/>
      <w:r>
        <w:rPr>
          <w:rFonts w:hint="eastAsia" w:ascii="仿宋" w:hAnsi="仿宋" w:eastAsia="仿宋"/>
          <w:b/>
          <w:sz w:val="32"/>
          <w:szCs w:val="32"/>
        </w:rPr>
        <w:t>（三）国有资产占有使用情况</w:t>
      </w:r>
      <w:bookmarkEnd w:id="36"/>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sz w:val="32"/>
          <w:szCs w:val="32"/>
        </w:rPr>
      </w:pPr>
      <w:r>
        <w:rPr>
          <w:rFonts w:hint="eastAsia" w:ascii="仿宋" w:hAnsi="仿宋" w:eastAsia="仿宋" w:cs="仿宋"/>
          <w:kern w:val="2"/>
          <w:sz w:val="32"/>
          <w:szCs w:val="32"/>
          <w:lang w:val="en-US" w:eastAsia="zh-CN" w:bidi="ar-SA"/>
        </w:rPr>
        <w:t>截至2023年12月31日，攀枝花市总工会共有车辆0辆。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kern w:val="2"/>
          <w:sz w:val="32"/>
          <w:szCs w:val="32"/>
          <w:lang w:val="en-US" w:eastAsia="zh-CN" w:bidi="ar-SA"/>
        </w:rPr>
        <w:t>根据预算绩效管理要求，本单位在2023年度预算编制阶段，组织对省级工会专项资金项目开展了预算事前绩效评估，对6个项目编制了绩效目标，预算执行过程中，选取1个项目开展绩效监控，</w:t>
      </w:r>
      <w:r>
        <w:rPr>
          <w:rFonts w:hint="eastAsia" w:ascii="仿宋" w:hAnsi="仿宋" w:eastAsia="仿宋" w:cs="仿宋"/>
          <w:color w:val="auto"/>
          <w:sz w:val="32"/>
          <w:szCs w:val="32"/>
          <w:highlight w:val="none"/>
          <w:lang w:eastAsia="zh-CN"/>
        </w:rPr>
        <w:t>组织对</w:t>
      </w:r>
      <w:r>
        <w:rPr>
          <w:rFonts w:hint="eastAsia" w:ascii="仿宋" w:hAnsi="仿宋" w:eastAsia="仿宋" w:cs="仿宋"/>
          <w:color w:val="auto"/>
          <w:sz w:val="32"/>
          <w:szCs w:val="32"/>
          <w:highlight w:val="none"/>
          <w:lang w:val="en-US" w:eastAsia="zh-CN"/>
        </w:rPr>
        <w:t>6个项目开展绩效自评，绩效自评表详见第四部分附件。</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p>
    <w:p>
      <w:pPr>
        <w:spacing w:line="600" w:lineRule="exact"/>
        <w:rPr>
          <w:rFonts w:hint="eastAsia" w:ascii="仿宋_GB2312"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方正仿宋_GBK" w:cs="Times New Roman"/>
          <w:kern w:val="2"/>
          <w:sz w:val="33"/>
          <w:szCs w:val="33"/>
          <w:lang w:val="en-US" w:eastAsia="zh-CN" w:bidi="ar-SA"/>
        </w:rPr>
      </w:pPr>
    </w:p>
    <w:p>
      <w:pPr>
        <w:numPr>
          <w:ilvl w:val="0"/>
          <w:numId w:val="5"/>
        </w:numPr>
        <w:spacing w:line="600" w:lineRule="exact"/>
        <w:ind w:firstLine="660" w:firstLineChars="150"/>
        <w:jc w:val="center"/>
        <w:outlineLvl w:val="0"/>
        <w:rPr>
          <w:rStyle w:val="30"/>
          <w:rFonts w:ascii="黑体" w:hAnsi="黑体" w:eastAsia="黑体"/>
          <w:b w:val="0"/>
        </w:rPr>
      </w:pPr>
      <w:bookmarkStart w:id="37" w:name="_Toc15377225"/>
      <w:bookmarkStart w:id="38" w:name="_Toc15396613"/>
      <w:r>
        <w:rPr>
          <w:rFonts w:hint="eastAsia" w:ascii="黑体" w:hAnsi="黑体" w:eastAsia="黑体"/>
          <w:sz w:val="44"/>
          <w:szCs w:val="44"/>
        </w:rPr>
        <w:t>名</w:t>
      </w:r>
      <w:r>
        <w:rPr>
          <w:rStyle w:val="30"/>
          <w:rFonts w:hint="eastAsia" w:ascii="黑体" w:hAnsi="黑体" w:eastAsia="黑体"/>
          <w:b w:val="0"/>
        </w:rPr>
        <w:t>词解释</w:t>
      </w:r>
      <w:bookmarkEnd w:id="37"/>
      <w:bookmarkEnd w:id="38"/>
    </w:p>
    <w:p>
      <w:pPr>
        <w:spacing w:line="600" w:lineRule="exact"/>
        <w:jc w:val="left"/>
        <w:rPr>
          <w:rFonts w:asci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4.一般公共服务（类）群众团体事务（款）其他群众团体事务（项）：指其他用于群众团体事务方面的支出。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5.一般公共服务（类）组织事务（款）其他组织事务（项）：指其他用于中国共产党组织部门的事务支出。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6.社会保障和就业（类）行政事业单位养老（款）行政单位离退休（项）：指行政单位（包括实行公务员管理的事业单位）开支的离退休经费。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7.社会保障和就业（类）行政事业单位养老（款）事业单位离退休（项）：指事业单位开支的离退休经费。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8.社会保障和就业（类）抚恤（款）死亡抚恤（项）：指按规定用于烈士和牺牲、病故人员家属的一次性和定期抚恤金、丧葬补助费以及烈士褒扬金。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10.项目支出：指在基本支出之外为完成特定行政任务和事业发展目标所发生的支出。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52"/>
          <w:rFonts w:hint="eastAsia" w:ascii="黑体" w:hAnsi="黑体" w:eastAsia="黑体"/>
          <w:b w:val="0"/>
          <w:color w:val="auto"/>
          <w:highlight w:val="none"/>
          <w:lang w:eastAsia="zh-CN"/>
        </w:rPr>
      </w:pPr>
      <w:bookmarkStart w:id="39" w:name="_Toc15377226"/>
      <w:r>
        <w:rPr>
          <w:rFonts w:hint="eastAsia" w:ascii="Times New Roman" w:hAnsi="Times New Roman" w:eastAsia="方正仿宋_GBK" w:cs="Times New Roman"/>
          <w:kern w:val="2"/>
          <w:sz w:val="33"/>
          <w:szCs w:val="33"/>
          <w:lang w:val="en-US" w:eastAsia="zh-CN" w:bidi="ar-SA"/>
        </w:rPr>
        <w:br w:type="page"/>
      </w:r>
      <w:bookmarkStart w:id="40" w:name="_Toc15396614"/>
      <w:r>
        <w:rPr>
          <w:rFonts w:hint="eastAsia" w:eastAsia="方正仿宋_GBK" w:cs="Times New Roman"/>
          <w:kern w:val="2"/>
          <w:sz w:val="33"/>
          <w:szCs w:val="33"/>
          <w:lang w:val="en-US" w:eastAsia="zh-CN" w:bidi="ar-SA"/>
        </w:rPr>
        <w:t xml:space="preserve"> </w:t>
      </w:r>
      <w:bookmarkEnd w:id="40"/>
      <w:r>
        <w:rPr>
          <w:rFonts w:hint="eastAsia" w:ascii="黑体" w:hAnsi="黑体" w:eastAsia="黑体"/>
          <w:color w:val="auto"/>
          <w:sz w:val="44"/>
          <w:szCs w:val="44"/>
          <w:highlight w:val="none"/>
        </w:rPr>
        <w:t>第</w:t>
      </w:r>
      <w:r>
        <w:rPr>
          <w:rStyle w:val="52"/>
          <w:rFonts w:hint="eastAsia" w:ascii="黑体" w:hAnsi="黑体" w:eastAsia="黑体"/>
          <w:b w:val="0"/>
          <w:color w:val="auto"/>
          <w:highlight w:val="none"/>
        </w:rPr>
        <w:t>四部分 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eastAsia="zh-CN"/>
        </w:rPr>
        <w:t>附表：</w:t>
      </w:r>
      <w:r>
        <w:rPr>
          <w:rFonts w:hint="eastAsia" w:ascii="Times New Roman" w:hAnsi="Times New Roman" w:eastAsia="仿宋_GB2312" w:cs="仿宋_GB2312"/>
          <w:sz w:val="32"/>
          <w:szCs w:val="32"/>
          <w:lang w:val="en-US" w:eastAsia="zh-CN"/>
        </w:rPr>
        <w:t>攀枝花市总工会</w:t>
      </w:r>
      <w:r>
        <w:rPr>
          <w:rFonts w:hint="eastAsia" w:eastAsia="仿宋_GB2312" w:cs="仿宋_GB2312"/>
          <w:sz w:val="32"/>
          <w:szCs w:val="32"/>
          <w:lang w:val="en-US" w:eastAsia="zh-CN"/>
        </w:rPr>
        <w:t>单位</w:t>
      </w:r>
      <w:r>
        <w:rPr>
          <w:rFonts w:hint="eastAsia" w:ascii="Times New Roman" w:hAnsi="Times New Roman" w:eastAsia="仿宋_GB2312" w:cs="仿宋_GB2312"/>
          <w:sz w:val="32"/>
          <w:szCs w:val="32"/>
          <w:lang w:val="en-US" w:eastAsia="zh-CN"/>
        </w:rPr>
        <w:t>预算项目支出绩效自评表（2023年度）见附件3</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30"/>
          <w:rFonts w:hint="eastAsia" w:ascii="黑体" w:hAnsi="黑体" w:eastAsia="黑体"/>
          <w:b w:val="0"/>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Style w:val="30"/>
          <w:rFonts w:hint="eastAsia" w:ascii="黑体" w:hAnsi="黑体" w:eastAsia="黑体"/>
          <w:b w:val="0"/>
        </w:rPr>
      </w:pPr>
    </w:p>
    <w:p>
      <w:pPr>
        <w:spacing w:line="600" w:lineRule="exact"/>
        <w:ind w:firstLine="2200" w:firstLineChars="500"/>
        <w:jc w:val="both"/>
        <w:outlineLvl w:val="0"/>
        <w:rPr>
          <w:rFonts w:hint="eastAsia" w:ascii="黑体" w:hAnsi="黑体" w:eastAsia="黑体"/>
          <w:sz w:val="44"/>
          <w:szCs w:val="44"/>
        </w:rPr>
      </w:pPr>
      <w:bookmarkStart w:id="41" w:name="_Toc15396618"/>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spacing w:line="600" w:lineRule="exact"/>
        <w:ind w:firstLine="2200" w:firstLineChars="500"/>
        <w:jc w:val="both"/>
        <w:outlineLvl w:val="0"/>
        <w:rPr>
          <w:rFonts w:hint="eastAsia" w:ascii="黑体" w:hAnsi="黑体" w:eastAsia="黑体"/>
          <w:sz w:val="44"/>
          <w:szCs w:val="44"/>
        </w:rPr>
      </w:pPr>
    </w:p>
    <w:p>
      <w:pPr>
        <w:pStyle w:val="3"/>
        <w:rPr>
          <w:rFonts w:hint="eastAsia" w:ascii="黑体" w:hAnsi="黑体" w:eastAsia="黑体"/>
          <w:sz w:val="44"/>
          <w:szCs w:val="44"/>
        </w:rPr>
      </w:pPr>
    </w:p>
    <w:p>
      <w:pPr>
        <w:rPr>
          <w:rFonts w:hint="eastAsia" w:ascii="黑体" w:hAnsi="黑体" w:eastAsia="黑体"/>
          <w:sz w:val="44"/>
          <w:szCs w:val="44"/>
        </w:rPr>
      </w:pPr>
    </w:p>
    <w:p>
      <w:pPr>
        <w:pStyle w:val="3"/>
        <w:rPr>
          <w:rFonts w:hint="eastAsia" w:ascii="黑体" w:hAnsi="黑体" w:eastAsia="黑体"/>
          <w:sz w:val="44"/>
          <w:szCs w:val="44"/>
        </w:rPr>
      </w:pPr>
    </w:p>
    <w:p>
      <w:pPr>
        <w:rPr>
          <w:rFonts w:hint="eastAsia" w:ascii="黑体" w:hAnsi="黑体" w:eastAsia="黑体"/>
          <w:sz w:val="44"/>
          <w:szCs w:val="44"/>
        </w:rPr>
      </w:pPr>
    </w:p>
    <w:p>
      <w:pPr>
        <w:pStyle w:val="3"/>
        <w:rPr>
          <w:rFonts w:hint="eastAsia"/>
        </w:rPr>
      </w:pPr>
    </w:p>
    <w:p>
      <w:pPr>
        <w:spacing w:line="600" w:lineRule="exact"/>
        <w:ind w:firstLine="2200" w:firstLineChars="500"/>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bookmarkEnd w:id="39"/>
    <w:bookmarkEnd w:id="41"/>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52"/>
          <w:rFonts w:hint="eastAsia" w:ascii="黑体" w:hAnsi="黑体" w:eastAsia="黑体"/>
          <w:b w:val="0"/>
          <w:color w:val="auto"/>
          <w:highlight w:val="none"/>
        </w:rPr>
        <w:t>五部分 附表</w:t>
      </w:r>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53"/>
          <w:rFonts w:hint="eastAsia" w:ascii="仿宋" w:hAnsi="仿宋" w:eastAsia="仿宋"/>
          <w:b w:val="0"/>
          <w:bCs w:val="0"/>
          <w:color w:val="auto"/>
          <w:highlight w:val="none"/>
        </w:rPr>
        <w:t>入支出决算总表</w:t>
      </w:r>
    </w:p>
    <w:p>
      <w:pPr>
        <w:pStyle w:val="4"/>
        <w:rPr>
          <w:rFonts w:ascii="仿宋" w:hAnsi="仿宋" w:eastAsia="仿宋"/>
          <w:color w:val="auto"/>
          <w:highlight w:val="none"/>
        </w:rPr>
      </w:pPr>
      <w:r>
        <w:rPr>
          <w:rFonts w:hint="eastAsia" w:ascii="仿宋" w:hAnsi="仿宋" w:eastAsia="仿宋"/>
          <w:b w:val="0"/>
          <w:color w:val="auto"/>
          <w:highlight w:val="none"/>
        </w:rPr>
        <w:t>二、收</w:t>
      </w:r>
      <w:r>
        <w:rPr>
          <w:rStyle w:val="53"/>
          <w:rFonts w:hint="eastAsia" w:ascii="仿宋" w:hAnsi="仿宋" w:eastAsia="仿宋"/>
          <w:b w:val="0"/>
          <w:bCs w:val="0"/>
          <w:color w:val="auto"/>
          <w:highlight w:val="none"/>
        </w:rPr>
        <w:t>入决算表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53"/>
          <w:rFonts w:hint="eastAsia" w:ascii="仿宋" w:hAnsi="仿宋" w:eastAsia="仿宋"/>
          <w:b w:val="0"/>
          <w:bCs w:val="0"/>
          <w:color w:val="auto"/>
          <w:highlight w:val="none"/>
        </w:rPr>
        <w:t>出决算表</w:t>
      </w:r>
    </w:p>
    <w:p>
      <w:pPr>
        <w:pStyle w:val="4"/>
        <w:rPr>
          <w:rFonts w:ascii="仿宋" w:hAnsi="仿宋" w:eastAsia="仿宋"/>
          <w:b w:val="0"/>
          <w:color w:val="auto"/>
          <w:highlight w:val="none"/>
        </w:rPr>
      </w:pPr>
      <w:r>
        <w:rPr>
          <w:rStyle w:val="5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53"/>
          <w:rFonts w:hint="eastAsia" w:ascii="仿宋" w:hAnsi="仿宋" w:eastAsia="仿宋"/>
          <w:b w:val="0"/>
          <w:bCs w:val="0"/>
          <w:color w:val="auto"/>
          <w:highlight w:val="none"/>
        </w:rPr>
        <w:t>政拨款收入支出决算总表</w:t>
      </w:r>
    </w:p>
    <w:p>
      <w:pPr>
        <w:pStyle w:val="4"/>
        <w:rPr>
          <w:rStyle w:val="53"/>
          <w:rFonts w:ascii="仿宋" w:hAnsi="仿宋" w:eastAsia="仿宋"/>
          <w:b w:val="0"/>
          <w:bCs w:val="0"/>
          <w:color w:val="auto"/>
          <w:highlight w:val="none"/>
        </w:rPr>
      </w:pPr>
      <w:r>
        <w:rPr>
          <w:rStyle w:val="5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53"/>
          <w:rFonts w:hint="eastAsia" w:ascii="仿宋" w:hAnsi="仿宋" w:eastAsia="仿宋"/>
          <w:b w:val="0"/>
          <w:bCs w:val="0"/>
          <w:color w:val="auto"/>
          <w:highlight w:val="none"/>
        </w:rPr>
        <w:t>政拨款支出决算明细表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般公共预算财政拨款支出决算表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般公共预算财政拨款支出决算明细表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般公共预算财政拨款基本支出决算表</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53"/>
          <w:rFonts w:hint="eastAsia" w:ascii="仿宋" w:hAnsi="仿宋" w:eastAsia="仿宋"/>
          <w:b w:val="0"/>
          <w:bCs w:val="0"/>
          <w:color w:val="auto"/>
          <w:highlight w:val="none"/>
        </w:rPr>
        <w:t>般公共预算财政拨款项目支出决算表</w:t>
      </w:r>
    </w:p>
    <w:p>
      <w:pPr>
        <w:pStyle w:val="4"/>
        <w:rPr>
          <w:rFonts w:hint="eastAsia" w:ascii="仿宋" w:hAnsi="仿宋" w:eastAsia="仿宋"/>
          <w:color w:val="auto"/>
          <w:highlight w:val="none"/>
          <w:lang w:eastAsia="zh-CN"/>
        </w:rPr>
      </w:pPr>
      <w:r>
        <w:rPr>
          <w:rStyle w:val="53"/>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53"/>
          <w:rFonts w:hint="eastAsia" w:ascii="仿宋" w:hAnsi="仿宋" w:eastAsia="仿宋"/>
          <w:b w:val="0"/>
          <w:bCs w:val="0"/>
          <w:color w:val="auto"/>
          <w:highlight w:val="none"/>
        </w:rPr>
        <w:t>府性基金预算财政拨款收入支出决算表</w:t>
      </w:r>
      <w:r>
        <w:rPr>
          <w:rStyle w:val="53"/>
          <w:rFonts w:hint="eastAsia" w:ascii="仿宋" w:hAnsi="仿宋" w:eastAsia="仿宋"/>
          <w:b w:val="0"/>
          <w:bCs w:val="0"/>
          <w:color w:val="auto"/>
          <w:highlight w:val="none"/>
          <w:lang w:eastAsia="zh-CN"/>
        </w:rPr>
        <w:t>（</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53"/>
          <w:rFonts w:hint="eastAsia" w:ascii="仿宋" w:hAnsi="仿宋" w:eastAsia="仿宋"/>
          <w:b w:val="0"/>
          <w:bCs w:val="0"/>
          <w:color w:val="auto"/>
          <w:highlight w:val="none"/>
        </w:rPr>
        <w:t>有资本经营预算</w:t>
      </w:r>
      <w:r>
        <w:rPr>
          <w:rStyle w:val="53"/>
          <w:rFonts w:hint="eastAsia" w:ascii="仿宋" w:hAnsi="仿宋" w:eastAsia="仿宋"/>
          <w:b w:val="0"/>
          <w:bCs w:val="0"/>
          <w:color w:val="auto"/>
          <w:highlight w:val="none"/>
          <w:lang w:eastAsia="zh-CN"/>
        </w:rPr>
        <w:t>财政拨款收入</w:t>
      </w:r>
      <w:r>
        <w:rPr>
          <w:rStyle w:val="53"/>
          <w:rFonts w:hint="eastAsia" w:ascii="仿宋" w:hAnsi="仿宋" w:eastAsia="仿宋"/>
          <w:b w:val="0"/>
          <w:bCs w:val="0"/>
          <w:color w:val="auto"/>
          <w:highlight w:val="none"/>
        </w:rPr>
        <w:t>支出决算表</w:t>
      </w:r>
      <w:r>
        <w:rPr>
          <w:rStyle w:val="53"/>
          <w:rFonts w:hint="eastAsia" w:ascii="仿宋" w:hAnsi="仿宋" w:eastAsia="仿宋"/>
          <w:b w:val="0"/>
          <w:bCs w:val="0"/>
          <w:color w:val="auto"/>
          <w:highlight w:val="none"/>
          <w:lang w:eastAsia="zh-CN"/>
        </w:rPr>
        <w:t>（</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ascii="仿宋" w:hAnsi="仿宋" w:eastAsia="仿宋"/>
          <w:color w:val="auto"/>
          <w:highlight w:val="none"/>
        </w:rPr>
      </w:pPr>
      <w:r>
        <w:rPr>
          <w:rStyle w:val="53"/>
          <w:rFonts w:hint="eastAsia" w:ascii="仿宋" w:hAnsi="仿宋" w:eastAsia="仿宋"/>
          <w:b w:val="0"/>
          <w:bCs w:val="0"/>
          <w:color w:val="auto"/>
          <w:highlight w:val="none"/>
        </w:rPr>
        <w:t>十二、</w:t>
      </w:r>
      <w:r>
        <w:rPr>
          <w:rStyle w:val="53"/>
          <w:rFonts w:hint="eastAsia" w:ascii="仿宋" w:hAnsi="仿宋" w:eastAsia="仿宋"/>
          <w:b w:val="0"/>
          <w:bCs w:val="0"/>
          <w:color w:val="auto"/>
          <w:highlight w:val="none"/>
          <w:lang w:eastAsia="zh-CN"/>
        </w:rPr>
        <w:t>国有资本经营预算财政拨款支出决算表（</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p>
      <w:pPr>
        <w:pStyle w:val="4"/>
        <w:rPr>
          <w:rFonts w:hint="eastAsia" w:ascii="Times New Roman" w:hAnsi="Times New Roman" w:eastAsia="方正仿宋_GBK" w:cs="Times New Roman"/>
          <w:b w:val="0"/>
          <w:bCs w:val="0"/>
          <w:kern w:val="2"/>
          <w:sz w:val="33"/>
          <w:szCs w:val="33"/>
          <w:lang w:val="en-US" w:eastAsia="zh-CN" w:bidi="ar-SA"/>
        </w:rPr>
      </w:pPr>
      <w:r>
        <w:rPr>
          <w:rStyle w:val="53"/>
          <w:rFonts w:hint="eastAsia" w:ascii="仿宋" w:hAnsi="仿宋" w:eastAsia="仿宋"/>
          <w:b w:val="0"/>
          <w:bCs w:val="0"/>
          <w:color w:val="auto"/>
          <w:highlight w:val="none"/>
        </w:rPr>
        <w:t>十三、</w:t>
      </w:r>
      <w:r>
        <w:rPr>
          <w:rStyle w:val="53"/>
          <w:rFonts w:hint="eastAsia" w:ascii="仿宋" w:hAnsi="仿宋" w:eastAsia="仿宋"/>
          <w:b w:val="0"/>
          <w:bCs w:val="0"/>
          <w:color w:val="auto"/>
          <w:highlight w:val="none"/>
          <w:lang w:eastAsia="zh-CN"/>
        </w:rPr>
        <w:t>财政拨款“三公”经费支出决算表（</w:t>
      </w:r>
      <w:r>
        <w:rPr>
          <w:rStyle w:val="53"/>
          <w:rFonts w:hint="eastAsia" w:ascii="仿宋" w:hAnsi="仿宋" w:eastAsia="仿宋"/>
          <w:b w:val="0"/>
          <w:bCs w:val="0"/>
          <w:color w:val="auto"/>
          <w:highlight w:val="none"/>
          <w:lang w:val="en-US" w:eastAsia="zh-CN"/>
        </w:rPr>
        <w:t>此表无数据</w:t>
      </w:r>
      <w:r>
        <w:rPr>
          <w:rStyle w:val="53"/>
          <w:rFonts w:hint="eastAsia" w:ascii="仿宋" w:hAnsi="仿宋" w:eastAsia="仿宋"/>
          <w:b w:val="0"/>
          <w:bCs w:val="0"/>
          <w:color w:val="auto"/>
          <w:highlight w:val="none"/>
          <w:lang w:eastAsia="zh-CN"/>
        </w:rPr>
        <w:t>）</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4D37BF41"/>
    <w:multiLevelType w:val="singleLevel"/>
    <w:tmpl w:val="4D37BF41"/>
    <w:lvl w:ilvl="0" w:tentative="0">
      <w:start w:val="1"/>
      <w:numFmt w:val="decimal"/>
      <w:lvlText w:val="%1."/>
      <w:lvlJc w:val="left"/>
      <w:pPr>
        <w:tabs>
          <w:tab w:val="left" w:pos="312"/>
        </w:tabs>
      </w:pPr>
    </w:lvl>
  </w:abstractNum>
  <w:abstractNum w:abstractNumId="4">
    <w:nsid w:val="4EF66FAC"/>
    <w:multiLevelType w:val="singleLevel"/>
    <w:tmpl w:val="4EF66FAC"/>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Tk0ZjdiZTBjNDUxNmQzOGEzY2ExZjNjYzUwY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3023E"/>
    <w:rsid w:val="015975B8"/>
    <w:rsid w:val="02143E91"/>
    <w:rsid w:val="04A328D8"/>
    <w:rsid w:val="066E0107"/>
    <w:rsid w:val="0749199E"/>
    <w:rsid w:val="07996F6E"/>
    <w:rsid w:val="09BD06BF"/>
    <w:rsid w:val="0A2032A3"/>
    <w:rsid w:val="0B330344"/>
    <w:rsid w:val="0F98263C"/>
    <w:rsid w:val="101860EC"/>
    <w:rsid w:val="10C055FF"/>
    <w:rsid w:val="118107EC"/>
    <w:rsid w:val="13D50BC4"/>
    <w:rsid w:val="16BB723D"/>
    <w:rsid w:val="175C281F"/>
    <w:rsid w:val="18DC4807"/>
    <w:rsid w:val="1BE8440E"/>
    <w:rsid w:val="1D155CEE"/>
    <w:rsid w:val="1FEA15B7"/>
    <w:rsid w:val="1FF35744"/>
    <w:rsid w:val="231D6147"/>
    <w:rsid w:val="23860B96"/>
    <w:rsid w:val="240371BF"/>
    <w:rsid w:val="27B24AD6"/>
    <w:rsid w:val="29FD04D3"/>
    <w:rsid w:val="2A047719"/>
    <w:rsid w:val="2A645571"/>
    <w:rsid w:val="2B0B4AD7"/>
    <w:rsid w:val="2BD254B4"/>
    <w:rsid w:val="2C8A61B5"/>
    <w:rsid w:val="2DF04E50"/>
    <w:rsid w:val="2F040D46"/>
    <w:rsid w:val="30B612DD"/>
    <w:rsid w:val="319F7F4E"/>
    <w:rsid w:val="32652013"/>
    <w:rsid w:val="3304709D"/>
    <w:rsid w:val="36AA5135"/>
    <w:rsid w:val="376D39B2"/>
    <w:rsid w:val="37E16F03"/>
    <w:rsid w:val="382F44FB"/>
    <w:rsid w:val="388B0312"/>
    <w:rsid w:val="38D469F0"/>
    <w:rsid w:val="3AA067EF"/>
    <w:rsid w:val="3D98207C"/>
    <w:rsid w:val="3E78745D"/>
    <w:rsid w:val="44E268DA"/>
    <w:rsid w:val="4A627F82"/>
    <w:rsid w:val="4B0E749A"/>
    <w:rsid w:val="4B4F25DA"/>
    <w:rsid w:val="4BE068DB"/>
    <w:rsid w:val="4D577224"/>
    <w:rsid w:val="4E87BB0C"/>
    <w:rsid w:val="4EAB630A"/>
    <w:rsid w:val="4ECE2238"/>
    <w:rsid w:val="537E6D0A"/>
    <w:rsid w:val="55E805D6"/>
    <w:rsid w:val="5A0C489F"/>
    <w:rsid w:val="5AF92295"/>
    <w:rsid w:val="5CD71FC4"/>
    <w:rsid w:val="5D8A0FD0"/>
    <w:rsid w:val="5E005E6E"/>
    <w:rsid w:val="5EE22CB9"/>
    <w:rsid w:val="602367F0"/>
    <w:rsid w:val="632C2E46"/>
    <w:rsid w:val="63AE3C76"/>
    <w:rsid w:val="64161EEE"/>
    <w:rsid w:val="661029C7"/>
    <w:rsid w:val="6C4A05C8"/>
    <w:rsid w:val="6E7E3605"/>
    <w:rsid w:val="6FF5CC65"/>
    <w:rsid w:val="70615CDC"/>
    <w:rsid w:val="715C0E4B"/>
    <w:rsid w:val="72734D90"/>
    <w:rsid w:val="72DB17B3"/>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unhideWhenUsed/>
    <w:qFormat/>
    <w:uiPriority w:val="99"/>
    <w:rPr>
      <w:rFonts w:ascii="Times New Roman" w:hAnsi="Times New Roman"/>
      <w:sz w:val="24"/>
    </w:r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8"/>
    <w:link w:val="3"/>
    <w:qFormat/>
    <w:uiPriority w:val="9"/>
    <w:rPr>
      <w:rFonts w:ascii="Times New Roman" w:hAnsi="Times New Roman"/>
      <w:b/>
      <w:bCs/>
      <w:kern w:val="44"/>
      <w:sz w:val="44"/>
      <w:szCs w:val="44"/>
    </w:rPr>
  </w:style>
  <w:style w:type="character" w:customStyle="1" w:styleId="31">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8"/>
    <w:link w:val="10"/>
    <w:semiHidden/>
    <w:qFormat/>
    <w:uiPriority w:val="99"/>
    <w:rPr>
      <w:rFonts w:ascii="Times New Roman" w:hAnsi="Times New Roman"/>
      <w:kern w:val="2"/>
      <w:sz w:val="18"/>
      <w:szCs w:val="18"/>
    </w:rPr>
  </w:style>
  <w:style w:type="character" w:customStyle="1" w:styleId="34">
    <w:name w:val="标题 3 字符"/>
    <w:basedOn w:val="18"/>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标题 1 Char"/>
    <w:basedOn w:val="18"/>
    <w:link w:val="3"/>
    <w:qFormat/>
    <w:uiPriority w:val="9"/>
    <w:rPr>
      <w:b/>
      <w:bCs/>
      <w:kern w:val="44"/>
      <w:sz w:val="44"/>
      <w:szCs w:val="44"/>
    </w:rPr>
  </w:style>
  <w:style w:type="character" w:customStyle="1" w:styleId="53">
    <w:name w:val="标题 2 Char"/>
    <w:basedOn w:val="18"/>
    <w:link w:val="4"/>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收、支决算总计变动情况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313.54</c:v>
                </c:pt>
                <c:pt idx="1">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1177.7</c:v>
                </c:pt>
                <c:pt idx="1">
                  <c:v>1177.7</c:v>
                </c:pt>
              </c:numCache>
            </c:numRef>
          </c:val>
        </c:ser>
        <c:dLbls>
          <c:showLegendKey val="false"/>
          <c:showVal val="true"/>
          <c:showCatName val="false"/>
          <c:showSerName val="false"/>
          <c:showPercent val="false"/>
          <c:showBubbleSize val="false"/>
        </c:dLbls>
        <c:gapWidth val="219"/>
        <c:overlap val="-27"/>
        <c:axId val="758069340"/>
        <c:axId val="386128868"/>
      </c:barChart>
      <c:catAx>
        <c:axId val="7580693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true"/>
        <c:lblAlgn val="ctr"/>
        <c:lblOffset val="100"/>
        <c:noMultiLvlLbl val="false"/>
      </c:catAx>
      <c:valAx>
        <c:axId val="3861288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tx>
            <c:strRef>
              <c:f>Sheet1!$A$2</c:f>
              <c:strCache>
                <c:ptCount val="1"/>
                <c:pt idx="0">
                  <c:v>本年收入</c:v>
                </c:pt>
              </c:strCache>
            </c:strRef>
          </c:tx>
          <c:spPr/>
          <c:explosion val="0"/>
          <c:dPt>
            <c:idx val="0"/>
            <c:bubble3D val="false"/>
            <c:spPr>
              <a:solidFill>
                <a:schemeClr val="accent1"/>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f>
              <c:strCache>
                <c:ptCount val="1"/>
                <c:pt idx="0">
                  <c:v>一般公共预算财政拨款收入</c:v>
                </c:pt>
              </c:strCache>
            </c:strRef>
          </c:cat>
          <c:val>
            <c:numRef>
              <c:f>Sheet1!$B$2</c:f>
              <c:numCache>
                <c:formatCode>General</c:formatCode>
                <c:ptCount val="1"/>
                <c:pt idx="0">
                  <c:v>273.86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manualLayout>
          <c:xMode val="edge"/>
          <c:yMode val="edge"/>
          <c:x val="0.045164417486242"/>
          <c:y val="0.79897497741086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tx>
            <c:strRef>
              <c:f>Sheet1!$B$1</c:f>
              <c:strCache>
                <c:ptCount val="1"/>
                <c:pt idx="0">
                  <c:v>本年支出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294.45</c:v>
                </c:pt>
                <c:pt idx="1">
                  <c:v>883.25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manualLayout>
          <c:layoutTarget val="inner"/>
          <c:xMode val="edge"/>
          <c:yMode val="edge"/>
          <c:x val="0.0722951680672269"/>
          <c:y val="0.147463625639009"/>
          <c:w val="0.900393907563025"/>
          <c:h val="0.666024380652772"/>
        </c:manualLayout>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Sheet1!$B$2:$B$3</c:f>
              <c:numCache>
                <c:formatCode>General</c:formatCode>
                <c:ptCount val="2"/>
                <c:pt idx="0">
                  <c:v>313.54</c:v>
                </c:pt>
                <c:pt idx="1">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财政拨款总收入</c:v>
                </c:pt>
                <c:pt idx="1">
                  <c:v>财政拨款总支出</c:v>
                </c:pt>
              </c:strCache>
            </c:strRef>
          </c:cat>
          <c:val>
            <c:numRef>
              <c:f>Sheet1!$C$2:$C$3</c:f>
              <c:numCache>
                <c:formatCode>General</c:formatCode>
                <c:ptCount val="2"/>
                <c:pt idx="0">
                  <c:v>1177.7</c:v>
                </c:pt>
                <c:pt idx="1">
                  <c:v>1177.7</c:v>
                </c:pt>
              </c:numCache>
            </c:numRef>
          </c:val>
        </c:ser>
        <c:dLbls>
          <c:showLegendKey val="false"/>
          <c:showVal val="true"/>
          <c:showCatName val="false"/>
          <c:showSerName val="false"/>
          <c:showPercent val="false"/>
          <c:showBubbleSize val="false"/>
        </c:dLbls>
        <c:gapWidth val="219"/>
        <c:overlap val="-27"/>
        <c:axId val="758069340"/>
        <c:axId val="386128868"/>
      </c:barChart>
      <c:catAx>
        <c:axId val="75806934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6128868"/>
        <c:crosses val="autoZero"/>
        <c:auto val="true"/>
        <c:lblAlgn val="ctr"/>
        <c:lblOffset val="100"/>
        <c:noMultiLvlLbl val="false"/>
      </c:catAx>
      <c:valAx>
        <c:axId val="38612886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806934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delete val="true"/>
          </c:dLbls>
          <c:cat>
            <c:strRef>
              <c:f>Sheet1!$A$2</c:f>
              <c:strCache>
                <c:ptCount val="1"/>
                <c:pt idx="0">
                  <c:v>一般公共预算财政拨款支出</c:v>
                </c:pt>
              </c:strCache>
            </c:strRef>
          </c:cat>
          <c:val>
            <c:numRef>
              <c:f>Sheet1!$B$2</c:f>
              <c:numCache>
                <c:formatCode>General</c:formatCode>
                <c:ptCount val="1"/>
                <c:pt idx="0">
                  <c:v>313.54</c:v>
                </c:pt>
              </c:numCache>
            </c:numRef>
          </c:val>
        </c:ser>
        <c:ser>
          <c:idx val="1"/>
          <c:order val="1"/>
          <c:tx>
            <c:strRef>
              <c:f>Sheet1!$C$1</c:f>
              <c:strCache>
                <c:ptCount val="1"/>
                <c:pt idx="0">
                  <c:v>2023年</c:v>
                </c:pt>
              </c:strCache>
            </c:strRef>
          </c:tx>
          <c:spPr>
            <a:solidFill>
              <a:schemeClr val="accent2"/>
            </a:solidFill>
            <a:ln>
              <a:noFill/>
            </a:ln>
            <a:effectLst/>
          </c:spPr>
          <c:invertIfNegative val="false"/>
          <c:dLbls>
            <c:delete val="true"/>
          </c:dLbls>
          <c:cat>
            <c:strRef>
              <c:f>Sheet1!$A$2</c:f>
              <c:strCache>
                <c:ptCount val="1"/>
                <c:pt idx="0">
                  <c:v>一般公共预算财政拨款支出</c:v>
                </c:pt>
              </c:strCache>
            </c:strRef>
          </c:cat>
          <c:val>
            <c:numRef>
              <c:f>Sheet1!$C$2</c:f>
              <c:numCache>
                <c:formatCode>General</c:formatCode>
                <c:ptCount val="1"/>
                <c:pt idx="0">
                  <c:v>1177.7</c:v>
                </c:pt>
              </c:numCache>
            </c:numRef>
          </c:val>
        </c:ser>
        <c:dLbls>
          <c:showLegendKey val="false"/>
          <c:showVal val="false"/>
          <c:showCatName val="false"/>
          <c:showSerName val="false"/>
          <c:showPercent val="false"/>
          <c:showBubbleSize val="false"/>
        </c:dLbls>
        <c:gapWidth val="219"/>
        <c:overlap val="-27"/>
        <c:axId val="817357738"/>
        <c:axId val="87193509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一般公共预算财政拨款支出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81735773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1935091"/>
        <c:crosses val="autoZero"/>
        <c:auto val="true"/>
        <c:lblAlgn val="ctr"/>
        <c:lblOffset val="100"/>
        <c:noMultiLvlLbl val="false"/>
      </c:catAx>
      <c:valAx>
        <c:axId val="87193509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735773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tx>
            <c:strRef>
              <c:f>Sheet1!$B$1</c:f>
              <c:strCache>
                <c:ptCount val="1"/>
                <c:pt idx="0">
                  <c:v>本年支出</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一般公共服务支出</c:v>
                </c:pt>
                <c:pt idx="2">
                  <c:v>卫生健康支出</c:v>
                </c:pt>
                <c:pt idx="3">
                  <c:v>农林水支出</c:v>
                </c:pt>
              </c:strCache>
            </c:strRef>
          </c:cat>
          <c:val>
            <c:numRef>
              <c:f>Sheet1!$B$2:$B$5</c:f>
              <c:numCache>
                <c:formatCode>General</c:formatCode>
                <c:ptCount val="4"/>
                <c:pt idx="0">
                  <c:v>294.45</c:v>
                </c:pt>
                <c:pt idx="1">
                  <c:v>881.35</c:v>
                </c:pt>
                <c:pt idx="2">
                  <c:v>1.06</c:v>
                </c:pt>
                <c:pt idx="3">
                  <c:v>0.84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7410</Words>
  <Characters>8515</Characters>
  <Lines>58</Lines>
  <Paragraphs>16</Paragraphs>
  <TotalTime>2</TotalTime>
  <ScaleCrop>false</ScaleCrop>
  <LinksUpToDate>false</LinksUpToDate>
  <CharactersWithSpaces>8582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2023-09-11T17:02:00Z</cp:lastPrinted>
  <dcterms:modified xsi:type="dcterms:W3CDTF">2024-09-19T16:56:18Z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C19BEA8B7054441AB165583DCA52E423_13</vt:lpwstr>
  </property>
</Properties>
</file>