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bookmarkStart w:id="1" w:name="_Toc15396475"/>
      <w:bookmarkStart w:id="2" w:name="_Toc15378441"/>
      <w:bookmarkStart w:id="3" w:name="_Toc15377193"/>
      <w:bookmarkStart w:id="4" w:name="_Toc15377425"/>
      <w:bookmarkStart w:id="5" w:name="_Toc1539659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bookmarkEnd w:id="1"/>
    <w:bookmarkEnd w:id="2"/>
    <w:bookmarkEnd w:id="3"/>
    <w:bookmarkEnd w:id="4"/>
    <w:bookmarkEnd w:id="5"/>
    <w:p>
      <w:pPr>
        <w:pStyle w:val="6"/>
        <w:jc w:val="center"/>
        <w:rPr>
          <w:rFonts w:hint="eastAsia" w:ascii="方正小标宋简体" w:hAnsi="宋体" w:eastAsia="方正小标宋简体" w:cs="Times New Roman"/>
          <w:color w:val="auto"/>
          <w:kern w:val="2"/>
          <w:sz w:val="72"/>
          <w:szCs w:val="72"/>
          <w:highlight w:val="none"/>
          <w:lang w:val="en-US" w:eastAsia="zh-CN" w:bidi="ar-SA"/>
        </w:rPr>
      </w:pPr>
      <w:bookmarkStart w:id="6" w:name="_Toc15377196"/>
      <w:bookmarkStart w:id="7" w:name="_Toc15396599"/>
      <w:r>
        <w:rPr>
          <w:rFonts w:hint="eastAsia" w:ascii="方正小标宋简体" w:hAnsi="宋体" w:eastAsia="方正小标宋简体" w:cs="Times New Roman"/>
          <w:color w:val="auto"/>
          <w:kern w:val="2"/>
          <w:sz w:val="72"/>
          <w:szCs w:val="72"/>
          <w:highlight w:val="none"/>
          <w:lang w:val="en-US" w:eastAsia="zh-CN" w:bidi="ar-SA"/>
        </w:rPr>
        <w:t>2023年度</w:t>
      </w:r>
    </w:p>
    <w:p>
      <w:pPr>
        <w:pStyle w:val="6"/>
        <w:jc w:val="center"/>
        <w:rPr>
          <w:rFonts w:hint="eastAsia" w:ascii="方正小标宋简体" w:hAnsi="宋体" w:eastAsia="方正小标宋简体" w:cs="Times New Roman"/>
          <w:color w:val="auto"/>
          <w:kern w:val="2"/>
          <w:sz w:val="72"/>
          <w:szCs w:val="72"/>
          <w:highlight w:val="none"/>
          <w:lang w:val="en-US" w:eastAsia="zh-CN" w:bidi="ar-SA"/>
        </w:rPr>
      </w:pPr>
      <w:r>
        <w:rPr>
          <w:rFonts w:hint="eastAsia" w:ascii="方正小标宋简体" w:hAnsi="宋体" w:eastAsia="方正小标宋简体" w:cs="Times New Roman"/>
          <w:color w:val="auto"/>
          <w:kern w:val="2"/>
          <w:sz w:val="72"/>
          <w:szCs w:val="72"/>
          <w:highlight w:val="none"/>
          <w:lang w:val="en-US" w:eastAsia="zh-CN" w:bidi="ar-SA"/>
        </w:rPr>
        <w:t>攀枝花市总工会部门决算</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imes New Roman"/>
          <w:color w:val="auto"/>
          <w:sz w:val="28"/>
          <w:szCs w:val="28"/>
          <w:highlight w:val="none"/>
        </w:rPr>
      </w:pPr>
    </w:p>
    <w:p>
      <w:pPr>
        <w:pStyle w:val="13"/>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default"/>
          <w:color w:val="auto"/>
          <w:highlight w:val="none"/>
          <w:lang w:val="en"/>
        </w:rPr>
        <w:t>1</w:t>
      </w:r>
      <w:r>
        <w:rPr>
          <w:rFonts w:hint="default"/>
          <w:color w:val="auto"/>
          <w:highlight w:val="none"/>
          <w:lang w:val="en" w:eastAsia="zh-CN"/>
        </w:rPr>
        <w:t>9</w:t>
      </w:r>
      <w:r>
        <w:rPr>
          <w:rFonts w:hint="eastAsia"/>
          <w:color w:val="auto"/>
          <w:highlight w:val="none"/>
        </w:rPr>
        <w:t>日</w:t>
      </w:r>
      <w:bookmarkStart w:id="42" w:name="_GoBack"/>
      <w:bookmarkEnd w:id="42"/>
    </w:p>
    <w:p>
      <w:pPr>
        <w:rPr>
          <w:color w:val="auto"/>
          <w:highlight w:val="none"/>
        </w:rPr>
      </w:pPr>
    </w:p>
    <w:p>
      <w:pPr>
        <w:pStyle w:val="13"/>
        <w:adjustRightInd w:val="0"/>
        <w:snapToGrid w:val="0"/>
        <w:spacing w:before="0" w:line="440" w:lineRule="exact"/>
        <w:jc w:val="left"/>
        <w:rPr>
          <w:rFonts w:hint="eastAsia" w:eastAsia="仿宋" w:cs="Times New Roman"/>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部门</w:t>
      </w:r>
      <w:r>
        <w:rPr>
          <w:rFonts w:hint="eastAsia"/>
          <w:color w:val="auto"/>
          <w:sz w:val="24"/>
          <w:highlight w:val="none"/>
        </w:rPr>
        <w:t>概况</w:t>
      </w:r>
      <w:r>
        <w:rPr>
          <w:rFonts w:ascii="Times New Roman" w:hAnsi="Times New Roman"/>
          <w:sz w:val="24"/>
          <w:szCs w:val="24"/>
        </w:rPr>
        <w:tab/>
      </w:r>
      <w:r>
        <w:rPr>
          <w:rFonts w:hint="eastAsia" w:ascii="Times New Roman" w:hAnsi="Times New Roman"/>
          <w:sz w:val="24"/>
          <w:szCs w:val="24"/>
          <w:lang w:val="en-US" w:eastAsia="zh-CN"/>
        </w:rPr>
        <w:t>4</w:t>
      </w:r>
    </w:p>
    <w:p>
      <w:pPr>
        <w:pStyle w:val="15"/>
        <w:adjustRightInd w:val="0"/>
        <w:snapToGrid w:val="0"/>
        <w:spacing w:line="440" w:lineRule="exact"/>
        <w:jc w:val="left"/>
        <w:rPr>
          <w:rFonts w:hint="eastAsia"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ascii="Times New Roman" w:hAnsi="Times New Roman"/>
          <w:sz w:val="24"/>
          <w:szCs w:val="24"/>
        </w:rPr>
        <w:tab/>
      </w:r>
      <w:r>
        <w:rPr>
          <w:rFonts w:hint="eastAsia"/>
          <w:sz w:val="24"/>
          <w:szCs w:val="24"/>
          <w:lang w:val="en-US" w:eastAsia="zh-CN"/>
        </w:rPr>
        <w:t>4</w:t>
      </w:r>
    </w:p>
    <w:p>
      <w:pPr>
        <w:pStyle w:val="15"/>
        <w:adjustRightInd w:val="0"/>
        <w:snapToGrid w:val="0"/>
        <w:spacing w:line="440" w:lineRule="exact"/>
        <w:jc w:val="left"/>
        <w:rPr>
          <w:rFonts w:hint="eastAsia"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ascii="Times New Roman" w:hAnsi="Times New Roman"/>
          <w:sz w:val="24"/>
          <w:szCs w:val="24"/>
        </w:rPr>
        <w:tab/>
      </w:r>
      <w:r>
        <w:rPr>
          <w:rFonts w:hint="eastAsia"/>
          <w:sz w:val="24"/>
          <w:szCs w:val="24"/>
          <w:lang w:val="en-US" w:eastAsia="zh-CN"/>
        </w:rPr>
        <w:t>5</w:t>
      </w:r>
    </w:p>
    <w:p>
      <w:pPr>
        <w:pStyle w:val="13"/>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部门</w:t>
      </w:r>
      <w:r>
        <w:rPr>
          <w:rFonts w:hint="eastAsia"/>
          <w:color w:val="auto"/>
          <w:sz w:val="24"/>
          <w:highlight w:val="none"/>
        </w:rPr>
        <w:t>决算情况说明</w:t>
      </w:r>
      <w:r>
        <w:rPr>
          <w:rFonts w:ascii="Times New Roman" w:hAnsi="Times New Roman"/>
          <w:sz w:val="24"/>
          <w:szCs w:val="24"/>
        </w:rPr>
        <w:tab/>
      </w:r>
      <w:r>
        <w:rPr>
          <w:rFonts w:hint="eastAsia" w:ascii="Times New Roman" w:hAnsi="Times New Roman"/>
          <w:sz w:val="24"/>
          <w:szCs w:val="24"/>
          <w:lang w:val="en-US" w:eastAsia="zh-CN"/>
        </w:rPr>
        <w:t>6</w:t>
      </w:r>
    </w:p>
    <w:p>
      <w:pPr>
        <w:pStyle w:val="15"/>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一、收入支出决算总体情况说明</w:t>
      </w:r>
      <w:r>
        <w:rPr>
          <w:rFonts w:ascii="Times New Roman" w:hAnsi="Times New Roman"/>
          <w:sz w:val="24"/>
          <w:szCs w:val="24"/>
        </w:rPr>
        <w:tab/>
      </w:r>
      <w:r>
        <w:rPr>
          <w:rFonts w:hint="eastAsia"/>
          <w:sz w:val="24"/>
          <w:szCs w:val="24"/>
          <w:lang w:val="en-US" w:eastAsia="zh-CN"/>
        </w:rPr>
        <w:t>6</w:t>
      </w:r>
    </w:p>
    <w:p>
      <w:pPr>
        <w:pStyle w:val="15"/>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二、收入决算情况说明</w:t>
      </w:r>
      <w:r>
        <w:rPr>
          <w:rFonts w:ascii="Times New Roman" w:hAnsi="Times New Roman"/>
          <w:sz w:val="24"/>
          <w:szCs w:val="24"/>
        </w:rPr>
        <w:tab/>
      </w:r>
      <w:r>
        <w:rPr>
          <w:rFonts w:hint="eastAsia"/>
          <w:sz w:val="24"/>
          <w:szCs w:val="24"/>
          <w:lang w:val="en-US" w:eastAsia="zh-CN"/>
        </w:rPr>
        <w:t>6</w:t>
      </w:r>
    </w:p>
    <w:p>
      <w:pPr>
        <w:pStyle w:val="15"/>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三、支出决算情况说明</w:t>
      </w:r>
      <w:r>
        <w:rPr>
          <w:rFonts w:ascii="Times New Roman" w:hAnsi="Times New Roman"/>
          <w:sz w:val="24"/>
          <w:szCs w:val="24"/>
        </w:rPr>
        <w:tab/>
      </w:r>
      <w:r>
        <w:rPr>
          <w:rFonts w:hint="eastAsia"/>
          <w:sz w:val="24"/>
          <w:szCs w:val="24"/>
          <w:lang w:val="en-US" w:eastAsia="zh-CN"/>
        </w:rPr>
        <w:t>7</w:t>
      </w:r>
    </w:p>
    <w:p>
      <w:pPr>
        <w:pStyle w:val="15"/>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四、财政拨款收入支出决算总体情况说明</w:t>
      </w:r>
      <w:r>
        <w:rPr>
          <w:rFonts w:ascii="Times New Roman" w:hAnsi="Times New Roman"/>
          <w:sz w:val="24"/>
          <w:szCs w:val="24"/>
        </w:rPr>
        <w:tab/>
      </w:r>
      <w:r>
        <w:rPr>
          <w:rFonts w:hint="eastAsia"/>
          <w:sz w:val="24"/>
          <w:szCs w:val="24"/>
          <w:lang w:val="en-US" w:eastAsia="zh-CN"/>
        </w:rPr>
        <w:t>7</w:t>
      </w:r>
    </w:p>
    <w:p>
      <w:pPr>
        <w:pStyle w:val="15"/>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五、一般公共预算财政拨款支出决算情况说明</w:t>
      </w:r>
      <w:r>
        <w:rPr>
          <w:rFonts w:ascii="Times New Roman" w:hAnsi="Times New Roman"/>
          <w:sz w:val="24"/>
          <w:szCs w:val="24"/>
        </w:rPr>
        <w:tab/>
      </w:r>
      <w:r>
        <w:rPr>
          <w:rFonts w:hint="eastAsia"/>
          <w:sz w:val="24"/>
          <w:szCs w:val="24"/>
          <w:lang w:val="en-US" w:eastAsia="zh-CN"/>
        </w:rPr>
        <w:t>8</w:t>
      </w:r>
    </w:p>
    <w:p>
      <w:pPr>
        <w:pStyle w:val="15"/>
        <w:adjustRightInd w:val="0"/>
        <w:snapToGrid w:val="0"/>
        <w:spacing w:line="440" w:lineRule="exact"/>
        <w:jc w:val="left"/>
        <w:rPr>
          <w:rFonts w:hint="default" w:ascii="仿宋" w:hAnsi="仿宋" w:eastAsia="宋体" w:cs="Times New Roman"/>
          <w:color w:val="auto"/>
          <w:sz w:val="24"/>
          <w:highlight w:val="none"/>
          <w:lang w:val="en-US" w:eastAsia="zh-CN"/>
        </w:rPr>
      </w:pPr>
      <w:r>
        <w:rPr>
          <w:rFonts w:hint="eastAsia"/>
          <w:color w:val="auto"/>
          <w:sz w:val="24"/>
          <w:highlight w:val="none"/>
        </w:rPr>
        <w:t>六、一般公共预算财政拨款基本支出决算情况说明</w:t>
      </w:r>
      <w:r>
        <w:rPr>
          <w:rFonts w:ascii="Times New Roman" w:hAnsi="Times New Roman"/>
          <w:sz w:val="24"/>
          <w:szCs w:val="24"/>
        </w:rPr>
        <w:tab/>
      </w:r>
      <w:r>
        <w:rPr>
          <w:rFonts w:hint="eastAsia"/>
          <w:sz w:val="24"/>
          <w:szCs w:val="24"/>
          <w:lang w:val="en-US" w:eastAsia="zh-CN"/>
        </w:rPr>
        <w:t>10</w:t>
      </w:r>
    </w:p>
    <w:p>
      <w:pPr>
        <w:pStyle w:val="15"/>
        <w:adjustRightInd w:val="0"/>
        <w:snapToGrid w:val="0"/>
        <w:spacing w:line="440" w:lineRule="exact"/>
        <w:jc w:val="left"/>
        <w:rPr>
          <w:rFonts w:hint="default" w:ascii="仿宋" w:hAnsi="仿宋" w:eastAsia="宋体" w:cs="Times New Roman"/>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ascii="Times New Roman" w:hAnsi="Times New Roman"/>
          <w:sz w:val="24"/>
          <w:szCs w:val="24"/>
        </w:rPr>
        <w:tab/>
      </w:r>
      <w:r>
        <w:rPr>
          <w:rFonts w:hint="eastAsia"/>
          <w:sz w:val="24"/>
          <w:szCs w:val="24"/>
          <w:lang w:val="en-US" w:eastAsia="zh-CN"/>
        </w:rPr>
        <w:t>10</w:t>
      </w:r>
    </w:p>
    <w:p>
      <w:pPr>
        <w:pStyle w:val="15"/>
        <w:adjustRightInd w:val="0"/>
        <w:snapToGrid w:val="0"/>
        <w:spacing w:line="440" w:lineRule="exact"/>
        <w:jc w:val="left"/>
        <w:rPr>
          <w:rFonts w:hint="default" w:ascii="仿宋" w:hAnsi="仿宋" w:eastAsia="宋体" w:cs="Times New Roman"/>
          <w:color w:val="auto"/>
          <w:sz w:val="24"/>
          <w:highlight w:val="none"/>
          <w:lang w:val="en-US" w:eastAsia="zh-CN"/>
        </w:rPr>
      </w:pPr>
      <w:r>
        <w:rPr>
          <w:rFonts w:hint="eastAsia"/>
          <w:color w:val="auto"/>
          <w:sz w:val="24"/>
          <w:highlight w:val="none"/>
        </w:rPr>
        <w:t>八、政府性基金预算支出决算情况说明</w:t>
      </w:r>
      <w:r>
        <w:rPr>
          <w:rFonts w:ascii="Times New Roman" w:hAnsi="Times New Roman"/>
          <w:sz w:val="24"/>
          <w:szCs w:val="24"/>
        </w:rPr>
        <w:tab/>
      </w:r>
      <w:r>
        <w:rPr>
          <w:rFonts w:hint="eastAsia"/>
          <w:sz w:val="24"/>
          <w:szCs w:val="24"/>
          <w:lang w:val="en-US" w:eastAsia="zh-CN"/>
        </w:rPr>
        <w:t>11</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ascii="Times New Roman" w:hAnsi="Times New Roman"/>
          <w:sz w:val="24"/>
          <w:szCs w:val="24"/>
        </w:rPr>
        <w:tab/>
      </w:r>
      <w:r>
        <w:rPr>
          <w:rFonts w:hint="eastAsia"/>
          <w:sz w:val="24"/>
          <w:szCs w:val="24"/>
          <w:lang w:val="en-US" w:eastAsia="zh-CN"/>
        </w:rPr>
        <w:t>11</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ascii="Times New Roman" w:hAnsi="Times New Roman"/>
          <w:sz w:val="24"/>
          <w:szCs w:val="24"/>
        </w:rPr>
        <w:tab/>
      </w:r>
      <w:r>
        <w:rPr>
          <w:rFonts w:hint="eastAsia"/>
          <w:sz w:val="24"/>
          <w:szCs w:val="24"/>
          <w:lang w:val="en-US" w:eastAsia="zh-CN"/>
        </w:rPr>
        <w:t>11</w:t>
      </w:r>
    </w:p>
    <w:p>
      <w:pPr>
        <w:pStyle w:val="13"/>
        <w:adjustRightInd w:val="0"/>
        <w:snapToGrid w:val="0"/>
        <w:spacing w:before="0" w:line="440" w:lineRule="exact"/>
        <w:jc w:val="left"/>
        <w:rPr>
          <w:rFonts w:hint="default" w:eastAsia="仿宋" w:cs="Times New Roman"/>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ascii="Times New Roman" w:hAnsi="Times New Roman"/>
          <w:sz w:val="24"/>
          <w:szCs w:val="24"/>
        </w:rPr>
        <w:tab/>
      </w:r>
      <w:r>
        <w:rPr>
          <w:rFonts w:hint="eastAsia" w:ascii="Times New Roman" w:hAnsi="Times New Roman"/>
          <w:sz w:val="24"/>
          <w:szCs w:val="24"/>
          <w:lang w:val="en-US" w:eastAsia="zh-CN"/>
        </w:rPr>
        <w:t>13</w:t>
      </w:r>
    </w:p>
    <w:p>
      <w:pPr>
        <w:pStyle w:val="13"/>
        <w:adjustRightInd w:val="0"/>
        <w:snapToGrid w:val="0"/>
        <w:spacing w:before="0" w:line="440" w:lineRule="exact"/>
        <w:jc w:val="left"/>
        <w:rPr>
          <w:rFonts w:hint="default" w:eastAsia="仿宋" w:cs="Times New Roman"/>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ascii="Times New Roman" w:hAnsi="Times New Roman"/>
          <w:sz w:val="24"/>
          <w:szCs w:val="24"/>
        </w:rPr>
        <w:tab/>
      </w:r>
      <w:r>
        <w:rPr>
          <w:rFonts w:hint="eastAsia" w:ascii="Times New Roman" w:hAnsi="Times New Roman"/>
          <w:sz w:val="24"/>
          <w:szCs w:val="24"/>
          <w:lang w:val="en-US" w:eastAsia="zh-CN"/>
        </w:rPr>
        <w:t>15</w:t>
      </w:r>
    </w:p>
    <w:p>
      <w:pPr>
        <w:pStyle w:val="13"/>
        <w:adjustRightInd w:val="0"/>
        <w:snapToGrid w:val="0"/>
        <w:spacing w:before="0" w:line="440" w:lineRule="exact"/>
        <w:jc w:val="left"/>
        <w:rPr>
          <w:rFonts w:hint="default" w:eastAsia="仿宋" w:cs="Times New Roman"/>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ascii="Times New Roman" w:hAnsi="Times New Roman"/>
          <w:sz w:val="24"/>
          <w:szCs w:val="24"/>
        </w:rPr>
        <w:tab/>
      </w:r>
      <w:r>
        <w:rPr>
          <w:rFonts w:hint="eastAsia" w:ascii="Times New Roman" w:hAnsi="Times New Roman"/>
          <w:sz w:val="24"/>
          <w:szCs w:val="24"/>
          <w:lang w:val="en-US" w:eastAsia="zh-CN"/>
        </w:rPr>
        <w:t>24</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r>
        <w:rPr>
          <w:rFonts w:ascii="Times New Roman" w:hAnsi="Times New Roman"/>
          <w:sz w:val="24"/>
          <w:szCs w:val="24"/>
        </w:rPr>
        <w:tab/>
      </w:r>
      <w:r>
        <w:rPr>
          <w:rFonts w:hint="eastAsia" w:ascii="Times New Roman" w:hAnsi="Times New Roman"/>
          <w:sz w:val="24"/>
          <w:szCs w:val="24"/>
          <w:lang w:val="en-US" w:eastAsia="zh-CN"/>
        </w:rPr>
        <w:t>24</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r>
        <w:rPr>
          <w:rFonts w:ascii="Times New Roman" w:hAnsi="Times New Roman"/>
          <w:sz w:val="24"/>
          <w:szCs w:val="24"/>
        </w:rPr>
        <w:tab/>
      </w:r>
      <w:r>
        <w:rPr>
          <w:rFonts w:hint="eastAsia" w:ascii="Times New Roman" w:hAnsi="Times New Roman"/>
          <w:sz w:val="24"/>
          <w:szCs w:val="24"/>
          <w:lang w:val="en-US" w:eastAsia="zh-CN"/>
        </w:rPr>
        <w:t>24</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r>
        <w:rPr>
          <w:rFonts w:ascii="Times New Roman" w:hAnsi="Times New Roman"/>
          <w:sz w:val="24"/>
          <w:szCs w:val="24"/>
        </w:rPr>
        <w:tab/>
      </w:r>
      <w:r>
        <w:rPr>
          <w:rFonts w:hint="eastAsia" w:ascii="Times New Roman" w:hAnsi="Times New Roman"/>
          <w:sz w:val="24"/>
          <w:szCs w:val="24"/>
          <w:lang w:val="en-US" w:eastAsia="zh-CN"/>
        </w:rPr>
        <w:t>24</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r>
        <w:rPr>
          <w:rFonts w:ascii="Times New Roman" w:hAnsi="Times New Roman"/>
          <w:sz w:val="24"/>
          <w:szCs w:val="24"/>
        </w:rPr>
        <w:tab/>
      </w:r>
      <w:r>
        <w:rPr>
          <w:rFonts w:hint="eastAsia" w:ascii="Times New Roman" w:hAnsi="Times New Roman"/>
          <w:sz w:val="24"/>
          <w:szCs w:val="24"/>
          <w:lang w:val="en-US" w:eastAsia="zh-CN"/>
        </w:rPr>
        <w:t>24</w:t>
      </w:r>
    </w:p>
    <w:p>
      <w:pPr>
        <w:pStyle w:val="15"/>
        <w:adjustRightInd w:val="0"/>
        <w:snapToGrid w:val="0"/>
        <w:spacing w:line="440" w:lineRule="exact"/>
        <w:jc w:val="left"/>
        <w:rPr>
          <w:rFonts w:hint="eastAsia" w:ascii="Times New Roman" w:hAnsi="Times New Roman"/>
          <w:sz w:val="24"/>
          <w:szCs w:val="24"/>
          <w:lang w:val="en-US" w:eastAsia="zh-CN"/>
        </w:rPr>
      </w:pPr>
      <w:r>
        <w:rPr>
          <w:rFonts w:hint="eastAsia"/>
          <w:color w:val="auto"/>
          <w:sz w:val="24"/>
          <w:highlight w:val="none"/>
        </w:rPr>
        <w:t>五、财政拨款支出决算明细表</w:t>
      </w:r>
      <w:r>
        <w:rPr>
          <w:rFonts w:ascii="Times New Roman" w:hAnsi="Times New Roman"/>
          <w:sz w:val="24"/>
          <w:szCs w:val="24"/>
        </w:rPr>
        <w:tab/>
      </w:r>
      <w:r>
        <w:rPr>
          <w:rFonts w:hint="eastAsia" w:ascii="Times New Roman" w:hAnsi="Times New Roman"/>
          <w:sz w:val="24"/>
          <w:szCs w:val="24"/>
          <w:lang w:val="en-US" w:eastAsia="zh-CN"/>
        </w:rPr>
        <w:t>24</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r>
        <w:rPr>
          <w:rFonts w:ascii="Times New Roman" w:hAnsi="Times New Roman"/>
          <w:sz w:val="24"/>
          <w:szCs w:val="24"/>
        </w:rPr>
        <w:tab/>
      </w:r>
      <w:r>
        <w:rPr>
          <w:rFonts w:hint="eastAsia" w:ascii="Times New Roman" w:hAnsi="Times New Roman"/>
          <w:sz w:val="24"/>
          <w:szCs w:val="24"/>
          <w:lang w:val="en-US" w:eastAsia="zh-CN"/>
        </w:rPr>
        <w:t>24</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r>
        <w:rPr>
          <w:rFonts w:ascii="Times New Roman" w:hAnsi="Times New Roman"/>
          <w:sz w:val="24"/>
          <w:szCs w:val="24"/>
        </w:rPr>
        <w:tab/>
      </w:r>
      <w:r>
        <w:rPr>
          <w:rFonts w:hint="eastAsia" w:ascii="Times New Roman" w:hAnsi="Times New Roman"/>
          <w:sz w:val="24"/>
          <w:szCs w:val="24"/>
          <w:lang w:val="en-US" w:eastAsia="zh-CN"/>
        </w:rPr>
        <w:t>24</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ascii="Times New Roman" w:hAnsi="Times New Roman"/>
          <w:sz w:val="24"/>
          <w:szCs w:val="24"/>
        </w:rPr>
        <w:tab/>
      </w:r>
      <w:r>
        <w:rPr>
          <w:rFonts w:hint="eastAsia" w:ascii="Times New Roman" w:hAnsi="Times New Roman"/>
          <w:sz w:val="24"/>
          <w:szCs w:val="24"/>
          <w:lang w:val="en-US" w:eastAsia="zh-CN"/>
        </w:rPr>
        <w:t>24</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r>
        <w:rPr>
          <w:rFonts w:ascii="Times New Roman" w:hAnsi="Times New Roman"/>
          <w:sz w:val="24"/>
          <w:szCs w:val="24"/>
        </w:rPr>
        <w:tab/>
      </w:r>
      <w:r>
        <w:rPr>
          <w:rFonts w:hint="eastAsia" w:ascii="Times New Roman" w:hAnsi="Times New Roman"/>
          <w:sz w:val="24"/>
          <w:szCs w:val="24"/>
          <w:lang w:val="en-US" w:eastAsia="zh-CN"/>
        </w:rPr>
        <w:t>24</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r>
        <w:rPr>
          <w:rFonts w:ascii="Times New Roman" w:hAnsi="Times New Roman"/>
          <w:sz w:val="24"/>
          <w:szCs w:val="24"/>
        </w:rPr>
        <w:tab/>
      </w:r>
      <w:r>
        <w:rPr>
          <w:rFonts w:hint="eastAsia" w:ascii="Times New Roman" w:hAnsi="Times New Roman"/>
          <w:sz w:val="24"/>
          <w:szCs w:val="24"/>
          <w:lang w:val="en-US" w:eastAsia="zh-CN"/>
        </w:rPr>
        <w:t>24</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r>
        <w:rPr>
          <w:rFonts w:ascii="Times New Roman" w:hAnsi="Times New Roman"/>
          <w:sz w:val="24"/>
          <w:szCs w:val="24"/>
        </w:rPr>
        <w:tab/>
      </w:r>
      <w:r>
        <w:rPr>
          <w:rFonts w:hint="eastAsia" w:ascii="Times New Roman" w:hAnsi="Times New Roman"/>
          <w:sz w:val="24"/>
          <w:szCs w:val="24"/>
          <w:lang w:val="en-US" w:eastAsia="zh-CN"/>
        </w:rPr>
        <w:t>24</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ascii="Times New Roman" w:hAnsi="Times New Roman"/>
          <w:sz w:val="24"/>
          <w:szCs w:val="24"/>
        </w:rPr>
        <w:tab/>
      </w:r>
      <w:r>
        <w:rPr>
          <w:rFonts w:hint="eastAsia" w:ascii="Times New Roman" w:hAnsi="Times New Roman"/>
          <w:sz w:val="24"/>
          <w:szCs w:val="24"/>
          <w:lang w:val="en-US" w:eastAsia="zh-CN"/>
        </w:rPr>
        <w:t>24</w:t>
      </w:r>
    </w:p>
    <w:p>
      <w:pPr>
        <w:pStyle w:val="15"/>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r>
        <w:rPr>
          <w:rFonts w:ascii="Times New Roman" w:hAnsi="Times New Roman"/>
          <w:sz w:val="24"/>
          <w:szCs w:val="24"/>
        </w:rPr>
        <w:tab/>
      </w:r>
      <w:r>
        <w:rPr>
          <w:rFonts w:hint="eastAsia" w:ascii="Times New Roman" w:hAnsi="Times New Roman"/>
          <w:sz w:val="24"/>
          <w:szCs w:val="24"/>
          <w:lang w:val="en-US" w:eastAsia="zh-CN"/>
        </w:rPr>
        <w:t>24</w:t>
      </w:r>
    </w:p>
    <w:p>
      <w:pPr>
        <w:widowControl/>
        <w:adjustRightInd w:val="0"/>
        <w:snapToGrid w:val="0"/>
        <w:spacing w:line="440" w:lineRule="exact"/>
        <w:ind w:firstLine="1320" w:firstLineChars="550"/>
        <w:jc w:val="left"/>
        <w:rPr>
          <w:rFonts w:ascii="仿宋" w:hAnsi="仿宋" w:eastAsia="仿宋"/>
          <w:color w:val="auto"/>
          <w:sz w:val="24"/>
          <w:highlight w:val="none"/>
        </w:rPr>
      </w:pPr>
    </w:p>
    <w:p>
      <w:pPr>
        <w:widowControl/>
        <w:adjustRightInd w:val="0"/>
        <w:snapToGrid w:val="0"/>
        <w:spacing w:line="440" w:lineRule="exact"/>
        <w:ind w:firstLine="1320" w:firstLineChars="550"/>
        <w:jc w:val="left"/>
        <w:rPr>
          <w:rFonts w:ascii="仿宋" w:hAnsi="仿宋" w:eastAsia="仿宋"/>
          <w:color w:val="auto"/>
          <w:sz w:val="24"/>
          <w:highlight w:val="none"/>
        </w:rPr>
      </w:pPr>
    </w:p>
    <w:p>
      <w:pPr>
        <w:widowControl/>
        <w:adjustRightInd w:val="0"/>
        <w:snapToGrid w:val="0"/>
        <w:spacing w:line="440" w:lineRule="exact"/>
        <w:ind w:firstLine="1320" w:firstLineChars="550"/>
        <w:jc w:val="left"/>
        <w:rPr>
          <w:rFonts w:ascii="仿宋" w:hAnsi="仿宋" w:eastAsia="仿宋"/>
          <w:color w:val="auto"/>
          <w:sz w:val="24"/>
          <w:highlight w:val="none"/>
        </w:rPr>
      </w:pPr>
    </w:p>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bookmarkEnd w:id="6"/>
    <w:bookmarkEnd w:id="7"/>
    <w:p>
      <w:pPr>
        <w:pStyle w:val="3"/>
        <w:jc w:val="center"/>
        <w:rPr>
          <w:rStyle w:val="52"/>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部门</w:t>
      </w:r>
      <w:r>
        <w:rPr>
          <w:rStyle w:val="52"/>
          <w:rFonts w:hint="eastAsia" w:ascii="黑体" w:hAnsi="黑体" w:eastAsia="黑体"/>
          <w:b w:val="0"/>
          <w:bCs w:val="0"/>
          <w:color w:val="auto"/>
          <w:highlight w:val="none"/>
        </w:rPr>
        <w:t>概况</w:t>
      </w:r>
    </w:p>
    <w:p>
      <w:pPr>
        <w:widowControl/>
        <w:jc w:val="left"/>
        <w:rPr>
          <w:rFonts w:ascii="黑体" w:eastAsia="黑体"/>
          <w:color w:val="auto"/>
          <w:sz w:val="32"/>
          <w:szCs w:val="32"/>
          <w:highlight w:val="none"/>
        </w:rPr>
      </w:pPr>
    </w:p>
    <w:p>
      <w:pPr>
        <w:pStyle w:val="4"/>
        <w:numPr>
          <w:ilvl w:val="0"/>
          <w:numId w:val="1"/>
        </w:numPr>
        <w:rPr>
          <w:rStyle w:val="53"/>
          <w:rFonts w:hint="eastAsia" w:ascii="黑体" w:hAnsi="黑体" w:eastAsia="黑体"/>
          <w:b w:val="0"/>
          <w:bCs w:val="0"/>
          <w:color w:val="auto"/>
          <w:highlight w:val="none"/>
          <w:lang w:eastAsia="zh-CN"/>
        </w:rPr>
      </w:pPr>
      <w:r>
        <w:rPr>
          <w:rStyle w:val="53"/>
          <w:rFonts w:hint="eastAsia" w:ascii="黑体" w:hAnsi="黑体" w:eastAsia="黑体"/>
          <w:b w:val="0"/>
          <w:bCs w:val="0"/>
          <w:color w:val="auto"/>
          <w:highlight w:val="none"/>
          <w:lang w:eastAsia="zh-CN"/>
        </w:rPr>
        <w:t>主要职责</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lang w:val="en-US" w:eastAsia="zh-CN" w:bidi="ar-SA"/>
        </w:rPr>
        <w:t>根据党的基本理论、基本路线、基本纲领和工运方针，围绕党和国家工作大局，贯彻执行中国工会全国代表大会、中华全国总工会执行委员会和四川省、攀枝花市工会代表大会、全委会确定的方针、任务和作出的决议。</w:t>
      </w:r>
      <w:r>
        <w:rPr>
          <w:rFonts w:hint="eastAsia" w:ascii="仿宋" w:hAnsi="仿宋" w:eastAsia="仿宋" w:cs="仿宋"/>
          <w:kern w:val="2"/>
          <w:sz w:val="32"/>
          <w:szCs w:val="32"/>
          <w:shd w:val="clear" w:color="auto" w:fill="FFFFFF"/>
          <w:lang w:val="en-US" w:eastAsia="zh-CN" w:bidi="ar-SA"/>
        </w:rPr>
        <w:t>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依照法律和《中国工会章程》，组织和指导各级工会坚定不移地推动党的全心全意依靠工人阶级根本指导方针的贯彻落实，进一步突出和履行维护职能。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对有关职工合法权益的重大问题进行调查研究，向市委、市政府和四川省总工会反映职工群众的思想、愿望和要求，提出意见和建议；参与涉及职工切身利益的政策、措施和法规草案的拟定；指导企业生产经营安全保障工作，参与企业生产经营过程中发生的职工重大伤亡事故的调查处理。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负责工会理论政策的研究，研究制定工会的组织制度和民主制度，监督检查《中国工会章程》的贯彻执行；研究指导工会自身改革和建设；指导各级工会组织开展以职工代表大会为基本制度的民主选举、民主决策、民主管理和民主监督工作，推动建立平等协商、集体合同制度和监督保证机制的工作。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协助县（区）党委和市级有关部门、大企业党组（党委）管理县（区）总工会和有关市级产业工会、直属企业（集团公司）工会和市属基层工会的领导干部；监督、检查市总工会机关及直属单位党员干部廉政建设情况；研究制定工会干部的管理制度和培训规划，负责县（区）总工会、产业工会、大中型企事业工会领导干部的培训工作。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协助市政府做好市劳动模范的推荐、评选和管理工作；协助四川省总工会做好在攀全省劳模和“五一劳动奖章”、“五一劳动奖状”获得者的推荐、管理工作。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负责全市工会经费和工会资产的管理、审查、审计工作；研究、制定工会组织兴办职工劳动福利事业的有关制度和规定；负责对全市工会职工劳动福利事业的指导、协调工作。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sz w:val="32"/>
          <w:szCs w:val="32"/>
          <w:lang w:eastAsia="zh-CN"/>
        </w:rPr>
      </w:pPr>
      <w:r>
        <w:rPr>
          <w:rFonts w:hint="eastAsia" w:ascii="仿宋" w:hAnsi="仿宋" w:eastAsia="仿宋" w:cs="仿宋"/>
          <w:kern w:val="2"/>
          <w:sz w:val="32"/>
          <w:szCs w:val="32"/>
          <w:shd w:val="clear" w:color="auto" w:fill="FFFFFF"/>
          <w:lang w:val="en-US" w:eastAsia="zh-CN" w:bidi="ar-SA"/>
        </w:rPr>
        <w:t>承办市委、市政府和四川省总工会交办的其它事项。</w:t>
      </w:r>
    </w:p>
    <w:p>
      <w:pPr>
        <w:pStyle w:val="4"/>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攀枝花市总工会下属二级预算单位0个，其中行政单位0个，参照公务员法管理的事业单位0个，其他事业单位0个。</w:t>
      </w:r>
    </w:p>
    <w:p>
      <w:pPr>
        <w:numPr>
          <w:ilvl w:val="0"/>
          <w:numId w:val="0"/>
        </w:numPr>
        <w:ind w:leftChars="0"/>
        <w:rPr>
          <w:rFonts w:hint="eastAsia"/>
          <w:lang w:val="en-US" w:eastAsia="zh-CN"/>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52"/>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52"/>
          <w:rFonts w:hint="eastAsia" w:ascii="黑体" w:hAnsi="黑体" w:eastAsia="黑体"/>
          <w:b w:val="0"/>
          <w:bCs/>
          <w:color w:val="auto"/>
          <w:highlight w:val="none"/>
          <w:lang w:eastAsia="zh-CN"/>
        </w:rPr>
        <w:t>部门</w:t>
      </w:r>
      <w:r>
        <w:rPr>
          <w:rStyle w:val="52"/>
          <w:rFonts w:hint="eastAsia" w:ascii="黑体" w:hAnsi="黑体" w:eastAsia="黑体"/>
          <w:b w:val="0"/>
          <w:bCs/>
          <w:color w:val="auto"/>
          <w:highlight w:val="none"/>
        </w:rPr>
        <w:t>决算情况说明</w:t>
      </w:r>
    </w:p>
    <w:p>
      <w:pPr>
        <w:rPr>
          <w:color w:val="auto"/>
          <w:highlight w:val="none"/>
        </w:rPr>
      </w:pPr>
    </w:p>
    <w:p>
      <w:pPr>
        <w:pStyle w:val="29"/>
        <w:numPr>
          <w:ilvl w:val="0"/>
          <w:numId w:val="0"/>
        </w:numPr>
        <w:spacing w:line="600" w:lineRule="exact"/>
        <w:ind w:left="640" w:leftChars="0"/>
        <w:outlineLvl w:val="1"/>
        <w:rPr>
          <w:rStyle w:val="53"/>
          <w:rFonts w:ascii="黑体" w:hAnsi="黑体" w:eastAsia="黑体"/>
          <w:b w:val="0"/>
          <w:color w:val="auto"/>
          <w:highlight w:val="none"/>
        </w:rPr>
      </w:pPr>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53"/>
          <w:rFonts w:hint="eastAsia" w:ascii="黑体" w:hAnsi="黑体" w:eastAsia="黑体"/>
          <w:b w:val="0"/>
          <w:color w:val="auto"/>
          <w:highlight w:val="none"/>
        </w:rPr>
        <w:t>入支出决算总体情况说明</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2023年度收、支总计均为1177.7万元。与2022年度相比，收入、支出总计各增加864.16万元，增长275.61%。主要变动原因是收到上年结转的2022年省级工会专项资金及2023年在编在岗人员五险一金。</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6"/>
        <w:rPr>
          <w:rFonts w:ascii="仿宋_GB2312" w:eastAsia="仿宋_GB2312"/>
          <w:sz w:val="32"/>
          <w:szCs w:val="32"/>
        </w:rPr>
      </w:pPr>
      <w:r>
        <w:rPr>
          <w:rFonts w:hint="eastAsia" w:eastAsia="仿宋_GB2312"/>
          <w:lang w:eastAsia="zh-CN"/>
        </w:rPr>
        <w:drawing>
          <wp:inline distT="0" distB="0" distL="114300" distR="114300">
            <wp:extent cx="5046345" cy="3227705"/>
            <wp:effectExtent l="4445" t="4445" r="8890"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1"/>
        <w:rPr>
          <w:rStyle w:val="31"/>
          <w:rFonts w:ascii="黑体" w:hAnsi="黑体" w:eastAsia="黑体"/>
          <w:b w:val="0"/>
        </w:rPr>
      </w:pPr>
      <w:bookmarkStart w:id="8" w:name="_Toc15377206"/>
      <w:bookmarkStart w:id="9" w:name="_Toc15396604"/>
      <w:r>
        <w:rPr>
          <w:rFonts w:hint="eastAsia" w:ascii="黑体" w:hAnsi="黑体" w:eastAsia="黑体"/>
          <w:sz w:val="32"/>
          <w:szCs w:val="32"/>
          <w:lang w:eastAsia="zh-CN"/>
        </w:rPr>
        <w:t>二、</w:t>
      </w:r>
      <w:r>
        <w:rPr>
          <w:rFonts w:hint="eastAsia" w:ascii="黑体" w:hAnsi="黑体" w:eastAsia="黑体"/>
          <w:sz w:val="32"/>
          <w:szCs w:val="32"/>
        </w:rPr>
        <w:t>收</w:t>
      </w:r>
      <w:r>
        <w:rPr>
          <w:rStyle w:val="31"/>
          <w:rFonts w:hint="eastAsia" w:ascii="黑体" w:hAnsi="黑体" w:eastAsia="黑体"/>
          <w:b w:val="0"/>
        </w:rPr>
        <w:t>入决算情况说明</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2023年本年收入合计1177.7万元，其中：一般公共预算财政拨款收入1177.7万元，占100%。</w:t>
      </w:r>
    </w:p>
    <w:p>
      <w:pPr>
        <w:ind w:firstLine="1120" w:firstLineChars="35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（图2：收入决算结构图）</w:t>
      </w:r>
    </w:p>
    <w:p>
      <w:pPr>
        <w:spacing w:line="600" w:lineRule="exact"/>
        <w:ind w:firstLine="640" w:firstLineChars="200"/>
        <w:rPr>
          <w:rFonts w:hint="eastAsia" w:ascii="仿宋_GB2312" w:eastAsia="仿宋_GB2312"/>
          <w:sz w:val="32"/>
          <w:szCs w:val="32"/>
          <w:lang w:eastAsia="zh-CN"/>
        </w:rPr>
      </w:pP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245110</wp:posOffset>
            </wp:positionH>
            <wp:positionV relativeFrom="paragraph">
              <wp:posOffset>248920</wp:posOffset>
            </wp:positionV>
            <wp:extent cx="4594225" cy="2469515"/>
            <wp:effectExtent l="4445" t="4445" r="19050" b="1016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_GB2312" w:eastAsia="仿宋_GB2312"/>
          <w:sz w:val="32"/>
          <w:szCs w:val="32"/>
          <w:lang w:eastAsia="zh-CN"/>
        </w:rPr>
      </w:pPr>
    </w:p>
    <w:p>
      <w:pPr>
        <w:spacing w:line="600" w:lineRule="exact"/>
        <w:ind w:firstLine="640" w:firstLineChars="200"/>
        <w:rPr>
          <w:rFonts w:hint="eastAsia" w:ascii="仿宋_GB2312" w:eastAsia="仿宋_GB2312"/>
          <w:sz w:val="32"/>
          <w:szCs w:val="32"/>
          <w:lang w:eastAsia="zh-CN"/>
        </w:rPr>
      </w:pPr>
    </w:p>
    <w:p>
      <w:pPr>
        <w:spacing w:line="600" w:lineRule="exact"/>
        <w:rPr>
          <w:rFonts w:hint="eastAsia" w:ascii="仿宋_GB2312" w:eastAsia="仿宋_GB2312"/>
          <w:sz w:val="32"/>
          <w:szCs w:val="32"/>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1"/>
        <w:rPr>
          <w:rStyle w:val="31"/>
          <w:rFonts w:ascii="黑体" w:hAnsi="黑体" w:eastAsia="黑体"/>
          <w:b w:val="0"/>
        </w:rPr>
      </w:pPr>
      <w:bookmarkStart w:id="10" w:name="_Toc15377207"/>
      <w:bookmarkStart w:id="11" w:name="_Toc15396605"/>
      <w:r>
        <w:rPr>
          <w:rFonts w:hint="eastAsia" w:ascii="黑体" w:hAnsi="黑体" w:eastAsia="黑体"/>
          <w:sz w:val="32"/>
          <w:szCs w:val="32"/>
          <w:lang w:eastAsia="zh-CN"/>
        </w:rPr>
        <w:t>三、</w:t>
      </w:r>
      <w:r>
        <w:rPr>
          <w:rFonts w:hint="eastAsia" w:ascii="黑体" w:hAnsi="黑体" w:eastAsia="黑体"/>
          <w:sz w:val="32"/>
          <w:szCs w:val="32"/>
        </w:rPr>
        <w:t>支</w:t>
      </w:r>
      <w:r>
        <w:rPr>
          <w:rStyle w:val="31"/>
          <w:rFonts w:hint="eastAsia" w:ascii="黑体" w:hAnsi="黑体" w:eastAsia="黑体"/>
          <w:b w:val="0"/>
        </w:rPr>
        <w:t>出决算情况说明</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2023年本年支出合计1177.7万元，其中：基本支出294.45万元，占25%；项目支出883.25万元，占75%。</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（图3：支出决算结构图）</w:t>
      </w:r>
    </w:p>
    <w:p>
      <w:pPr>
        <w:pStyle w:val="6"/>
        <w:rPr>
          <w:rFonts w:hint="eastAsia" w:ascii="黑体" w:hAnsi="黑体" w:eastAsia="黑体"/>
          <w:sz w:val="32"/>
          <w:szCs w:val="32"/>
        </w:rPr>
      </w:pPr>
      <w:bookmarkStart w:id="12" w:name="_Toc15377208"/>
      <w:bookmarkStart w:id="13" w:name="_Toc15396606"/>
      <w:r>
        <w:rPr>
          <w:rFonts w:hint="eastAsia" w:ascii="仿宋_GB2312" w:eastAsia="仿宋_GB2312"/>
          <w:sz w:val="32"/>
          <w:szCs w:val="32"/>
          <w:lang w:eastAsia="zh-CN"/>
        </w:rPr>
        <w:drawing>
          <wp:inline distT="0" distB="0" distL="114300" distR="114300">
            <wp:extent cx="4923790" cy="2580640"/>
            <wp:effectExtent l="4445" t="4445" r="9525" b="57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31"/>
          <w:rFonts w:ascii="黑体" w:hAnsi="黑体" w:eastAsia="黑体"/>
          <w:b w:val="0"/>
        </w:rPr>
      </w:pPr>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2023年度财政拨款收、支总计均为1177.7万元。与2022年相比，财政拨款收、支总计各减少864.16万元，增长275.61%。主要变动原因是收到上年结转的2022年省级工会专项资金及2023年在编在岗人员五险一金。</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560" w:lineRule="exact"/>
        <w:ind w:firstLine="825" w:firstLineChars="250"/>
        <w:textAlignment w:val="auto"/>
        <w:rPr>
          <w:rFonts w:hint="eastAsia"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drawing>
          <wp:anchor distT="0" distB="0" distL="114300" distR="114300" simplePos="0" relativeHeight="251660288" behindDoc="0" locked="0" layoutInCell="1" allowOverlap="1">
            <wp:simplePos x="0" y="0"/>
            <wp:positionH relativeFrom="column">
              <wp:posOffset>230505</wp:posOffset>
            </wp:positionH>
            <wp:positionV relativeFrom="paragraph">
              <wp:posOffset>147320</wp:posOffset>
            </wp:positionV>
            <wp:extent cx="4599940" cy="2654935"/>
            <wp:effectExtent l="4445" t="4445" r="13335" b="762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ind w:firstLine="825" w:firstLineChars="250"/>
        <w:rPr>
          <w:rFonts w:hint="eastAsia" w:ascii="Times New Roman" w:hAnsi="Times New Roman" w:eastAsia="方正仿宋_GBK" w:cs="Times New Roman"/>
          <w:kern w:val="2"/>
          <w:sz w:val="33"/>
          <w:szCs w:val="33"/>
          <w:lang w:val="en-US" w:eastAsia="zh-CN" w:bidi="ar-SA"/>
        </w:rPr>
      </w:pPr>
    </w:p>
    <w:p>
      <w:pPr>
        <w:pStyle w:val="6"/>
        <w:rPr>
          <w:rFonts w:ascii="仿宋" w:hAnsi="仿宋" w:eastAsia="仿宋"/>
          <w:b/>
          <w:sz w:val="32"/>
          <w:szCs w:val="32"/>
        </w:rPr>
      </w:pPr>
    </w:p>
    <w:p>
      <w:pPr>
        <w:pStyle w:val="6"/>
        <w:rPr>
          <w:rFonts w:ascii="仿宋" w:hAnsi="仿宋" w:eastAsia="仿宋"/>
          <w:b/>
          <w:sz w:val="32"/>
          <w:szCs w:val="32"/>
        </w:rPr>
      </w:pPr>
    </w:p>
    <w:p>
      <w:pPr>
        <w:pStyle w:val="6"/>
        <w:rPr>
          <w:rFonts w:ascii="仿宋" w:hAnsi="仿宋" w:eastAsia="仿宋"/>
          <w:b/>
          <w:sz w:val="32"/>
          <w:szCs w:val="32"/>
        </w:rPr>
      </w:pPr>
    </w:p>
    <w:p>
      <w:pPr>
        <w:pStyle w:val="6"/>
        <w:rPr>
          <w:rFonts w:ascii="仿宋" w:hAnsi="仿宋" w:eastAsia="仿宋"/>
          <w:b/>
          <w:sz w:val="32"/>
          <w:szCs w:val="32"/>
        </w:rPr>
      </w:pPr>
    </w:p>
    <w:p>
      <w:pPr>
        <w:spacing w:line="600" w:lineRule="exact"/>
        <w:outlineLvl w:val="1"/>
        <w:rPr>
          <w:rFonts w:hint="eastAsia" w:ascii="黑体" w:hAnsi="黑体" w:eastAsia="黑体"/>
          <w:sz w:val="32"/>
          <w:szCs w:val="32"/>
        </w:rPr>
      </w:pPr>
      <w:bookmarkStart w:id="14" w:name="_Toc15396607"/>
      <w:bookmarkStart w:id="15" w:name="_Toc1537720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31"/>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14"/>
      <w:bookmarkEnd w:id="15"/>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ascii="仿宋" w:hAnsi="仿宋" w:eastAsia="仿宋"/>
          <w:b/>
          <w:sz w:val="32"/>
          <w:szCs w:val="32"/>
        </w:rPr>
      </w:pPr>
      <w:bookmarkStart w:id="16" w:name="_Toc15377210"/>
      <w:r>
        <w:rPr>
          <w:rFonts w:hint="eastAsia" w:ascii="仿宋" w:hAnsi="仿宋" w:eastAsia="仿宋"/>
          <w:b/>
          <w:sz w:val="32"/>
          <w:szCs w:val="32"/>
        </w:rPr>
        <w:t>（一）一般公共预算财政拨款支出决算总体情况</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一般公共预算财政拨款支出1177.7万元，占本年支出合计的100%。与2022年相比，一般公共预算财政拨款支出增加864.16万元，增长275.61%。主要变动原因是支出上年结转的2022年省级工会专项资金及2023年在编在岗人员五险一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（图5：一般公共预算财政拨款支出决算变动情况）</w:t>
      </w:r>
    </w:p>
    <w:p>
      <w:pPr>
        <w:pStyle w:val="6"/>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1312" behindDoc="0" locked="0" layoutInCell="1" allowOverlap="1">
            <wp:simplePos x="0" y="0"/>
            <wp:positionH relativeFrom="column">
              <wp:posOffset>88265</wp:posOffset>
            </wp:positionH>
            <wp:positionV relativeFrom="paragraph">
              <wp:posOffset>16510</wp:posOffset>
            </wp:positionV>
            <wp:extent cx="5118735" cy="2334260"/>
            <wp:effectExtent l="5080" t="4445" r="12065" b="825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6"/>
        <w:rPr>
          <w:rFonts w:ascii="仿宋" w:hAnsi="仿宋" w:eastAsia="仿宋"/>
          <w:sz w:val="32"/>
          <w:szCs w:val="32"/>
        </w:rPr>
      </w:pPr>
    </w:p>
    <w:p>
      <w:pPr>
        <w:pStyle w:val="6"/>
        <w:rPr>
          <w:rFonts w:ascii="仿宋" w:hAnsi="仿宋" w:eastAsia="仿宋"/>
          <w:sz w:val="32"/>
          <w:szCs w:val="32"/>
        </w:rPr>
      </w:pPr>
    </w:p>
    <w:p>
      <w:pPr>
        <w:pStyle w:val="6"/>
        <w:rPr>
          <w:rFonts w:ascii="仿宋" w:hAnsi="仿宋" w:eastAsia="仿宋"/>
          <w:sz w:val="32"/>
          <w:szCs w:val="32"/>
        </w:rPr>
      </w:pPr>
    </w:p>
    <w:p>
      <w:pPr>
        <w:spacing w:line="600" w:lineRule="exact"/>
        <w:ind w:firstLine="642" w:firstLineChars="200"/>
        <w:outlineLvl w:val="2"/>
        <w:rPr>
          <w:rFonts w:hint="eastAsia" w:ascii="仿宋" w:hAnsi="仿宋" w:eastAsia="仿宋"/>
          <w:b/>
          <w:sz w:val="32"/>
          <w:szCs w:val="32"/>
        </w:rPr>
      </w:pPr>
      <w:bookmarkStart w:id="17" w:name="_Toc15377211"/>
    </w:p>
    <w:p>
      <w:pPr>
        <w:spacing w:line="600" w:lineRule="exact"/>
        <w:ind w:firstLine="642" w:firstLineChars="200"/>
        <w:outlineLvl w:val="2"/>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2023年一般公共预算财政拨款支出1177.7万元，主要用于以下方面:一般公共服务支出881.35万元，占74.84%；社会保障和就业支出294.45万元，占25%；卫生健康支出1.06万元，占0.09%；农林水支出0.84万元，占0.07%。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（图6：一般公共预算财政拨款支出决算结构）</w:t>
      </w:r>
    </w:p>
    <w:p>
      <w:pPr>
        <w:ind w:firstLine="825" w:firstLineChars="250"/>
        <w:rPr>
          <w:rFonts w:hint="eastAsia"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drawing>
          <wp:anchor distT="0" distB="0" distL="114300" distR="114300" simplePos="0" relativeHeight="251662336" behindDoc="0" locked="0" layoutInCell="1" allowOverlap="1">
            <wp:simplePos x="0" y="0"/>
            <wp:positionH relativeFrom="column">
              <wp:posOffset>65405</wp:posOffset>
            </wp:positionH>
            <wp:positionV relativeFrom="paragraph">
              <wp:posOffset>31115</wp:posOffset>
            </wp:positionV>
            <wp:extent cx="4505960" cy="2393315"/>
            <wp:effectExtent l="4445" t="4445" r="15875" b="1016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6"/>
      </w:pPr>
    </w:p>
    <w:p>
      <w:pPr>
        <w:pStyle w:val="6"/>
      </w:pPr>
    </w:p>
    <w:p>
      <w:pPr>
        <w:pStyle w:val="6"/>
      </w:pPr>
    </w:p>
    <w:p>
      <w:pPr>
        <w:pStyle w:val="6"/>
      </w:pPr>
    </w:p>
    <w:p>
      <w:pPr>
        <w:spacing w:line="600"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bidi w:val="0"/>
        <w:snapToGrid/>
        <w:spacing w:line="560" w:lineRule="exact"/>
        <w:ind w:firstLine="642" w:firstLineChars="200"/>
        <w:textAlignment w:val="auto"/>
        <w:outlineLvl w:val="2"/>
        <w:rPr>
          <w:rFonts w:ascii="仿宋" w:hAnsi="仿宋" w:eastAsia="仿宋"/>
          <w:b/>
          <w:sz w:val="32"/>
          <w:szCs w:val="32"/>
        </w:rPr>
      </w:pPr>
      <w:bookmarkStart w:id="18" w:name="_Toc15377212"/>
      <w:r>
        <w:rPr>
          <w:rFonts w:hint="eastAsia" w:ascii="仿宋" w:hAnsi="仿宋" w:eastAsia="仿宋"/>
          <w:b/>
          <w:sz w:val="32"/>
          <w:szCs w:val="32"/>
        </w:rPr>
        <w:t>（三）一般公共预算财政拨款支出决算具体情况</w:t>
      </w:r>
      <w:bookmarkEnd w:id="18"/>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仿宋" w:hAnsi="仿宋" w:eastAsia="仿宋" w:cs="仿宋"/>
          <w:b w:val="0"/>
          <w:bCs w:val="0"/>
          <w:kern w:val="2"/>
          <w:sz w:val="32"/>
          <w:szCs w:val="32"/>
          <w:lang w:val="en-US" w:eastAsia="zh-CN" w:bidi="ar-SA"/>
        </w:rPr>
      </w:pPr>
      <w:bookmarkStart w:id="19" w:name="_Toc15377213"/>
      <w:bookmarkStart w:id="20" w:name="_Toc15377444"/>
      <w:bookmarkStart w:id="21" w:name="_Toc15378460"/>
      <w:r>
        <w:rPr>
          <w:rFonts w:hint="eastAsia" w:ascii="仿宋" w:hAnsi="仿宋" w:eastAsia="仿宋" w:cs="仿宋"/>
          <w:b w:val="0"/>
          <w:bCs w:val="0"/>
          <w:kern w:val="2"/>
          <w:sz w:val="32"/>
          <w:szCs w:val="32"/>
          <w:lang w:val="en-US" w:eastAsia="zh-CN" w:bidi="ar-SA"/>
        </w:rPr>
        <w:t>2023年一般公共预算支出决算数为1177.7万元，完成预算100%。其中：</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1.一般公共服务支出:</w:t>
      </w:r>
      <w:r>
        <w:rPr>
          <w:rFonts w:hint="eastAsia" w:ascii="Times New Roman" w:hAnsi="Times New Roman" w:eastAsia="方正仿宋_GBK" w:cs="Times New Roman"/>
          <w:kern w:val="2"/>
          <w:sz w:val="33"/>
          <w:szCs w:val="33"/>
          <w:lang w:val="en-US" w:eastAsia="zh-CN" w:bidi="ar-SA"/>
        </w:rPr>
        <w:t xml:space="preserve"> </w:t>
      </w:r>
      <w:r>
        <w:rPr>
          <w:rFonts w:hint="eastAsia" w:ascii="仿宋" w:hAnsi="仿宋" w:eastAsia="仿宋" w:cs="仿宋"/>
          <w:kern w:val="2"/>
          <w:sz w:val="32"/>
          <w:szCs w:val="32"/>
          <w:lang w:val="en-US" w:eastAsia="zh-CN" w:bidi="ar-SA"/>
        </w:rPr>
        <w:t>①2012902一般行政管理事务：支出决算为369.68万元，完成预算100%；②2012999其他群众团体事务支出：支出决算为507.68万元，完成预算100%；③2013299其他组织事务支出：支出决算为3.99万元，完成预算100%。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2.社会保障和就业支出：</w:t>
      </w:r>
      <w:r>
        <w:rPr>
          <w:rFonts w:hint="eastAsia" w:ascii="仿宋" w:hAnsi="仿宋" w:eastAsia="仿宋" w:cs="仿宋"/>
          <w:kern w:val="2"/>
          <w:sz w:val="32"/>
          <w:szCs w:val="32"/>
          <w:lang w:val="en-US" w:eastAsia="zh-CN" w:bidi="ar-SA"/>
        </w:rPr>
        <w:t>①2080501行政单位离退休：支出决算为172.99万元，完成预算100%；②2080502事业单位离退休：支出决算为116.96万元，完成预算100%；③2080801死亡抚恤：支出决算为4.49万元，完成预算100%。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3.卫生健康支出：</w:t>
      </w:r>
      <w:r>
        <w:rPr>
          <w:rFonts w:hint="eastAsia" w:ascii="仿宋" w:hAnsi="仿宋" w:eastAsia="仿宋" w:cs="仿宋"/>
          <w:kern w:val="2"/>
          <w:sz w:val="32"/>
          <w:szCs w:val="32"/>
          <w:lang w:val="en-US" w:eastAsia="zh-CN" w:bidi="ar-SA"/>
        </w:rPr>
        <w:t>①2109999其他卫生健康支出：支出决算为1.06万元，完成预算100%。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eastAsia" w:ascii="Times New Roman" w:hAnsi="Times New Roman" w:eastAsia="方正仿宋_GBK" w:cs="Times New Roman"/>
          <w:kern w:val="2"/>
          <w:sz w:val="33"/>
          <w:szCs w:val="33"/>
          <w:lang w:val="en-US" w:eastAsia="zh-CN" w:bidi="ar-SA"/>
        </w:rPr>
      </w:pPr>
      <w:r>
        <w:rPr>
          <w:rFonts w:hint="eastAsia" w:ascii="仿宋" w:hAnsi="仿宋" w:eastAsia="仿宋" w:cs="仿宋"/>
          <w:b/>
          <w:bCs/>
          <w:kern w:val="2"/>
          <w:sz w:val="32"/>
          <w:szCs w:val="32"/>
          <w:lang w:val="en-US" w:eastAsia="zh-CN" w:bidi="ar-SA"/>
        </w:rPr>
        <w:t>4.农林水支出：</w:t>
      </w:r>
      <w:r>
        <w:rPr>
          <w:rFonts w:hint="eastAsia" w:ascii="仿宋" w:hAnsi="仿宋" w:eastAsia="仿宋" w:cs="仿宋"/>
          <w:kern w:val="2"/>
          <w:sz w:val="32"/>
          <w:szCs w:val="32"/>
          <w:lang w:val="en-US" w:eastAsia="zh-CN" w:bidi="ar-SA"/>
        </w:rPr>
        <w:t>①2130199其他农业农村支出：支出决算为0.84万元，完成预算100%。</w:t>
      </w:r>
    </w:p>
    <w:p>
      <w:pPr>
        <w:keepNext w:val="0"/>
        <w:keepLines w:val="0"/>
        <w:pageBreakBefore w:val="0"/>
        <w:widowControl w:val="0"/>
        <w:tabs>
          <w:tab w:val="right" w:pos="8306"/>
        </w:tabs>
        <w:kinsoku/>
        <w:wordWrap/>
        <w:overflowPunct/>
        <w:topLinePunct w:val="0"/>
        <w:bidi w:val="0"/>
        <w:snapToGrid/>
        <w:spacing w:line="560" w:lineRule="exact"/>
        <w:ind w:firstLine="640"/>
        <w:textAlignment w:val="auto"/>
        <w:outlineLvl w:val="1"/>
        <w:rPr>
          <w:rStyle w:val="31"/>
        </w:rPr>
      </w:pPr>
      <w:bookmarkStart w:id="22" w:name="_Toc15377214"/>
      <w:bookmarkStart w:id="23"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22"/>
      <w:bookmarkEnd w:id="23"/>
      <w:r>
        <w:rPr>
          <w:rStyle w:val="31"/>
          <w:rFonts w:ascii="黑体" w:hAnsi="黑体" w:eastAsia="黑体"/>
          <w:b w:val="0"/>
        </w:rPr>
        <w:tab/>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2023年一般公共预算财政拨款基本支出294.45万元，其中：</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人员经费250.08万元，主要包括：离休费、抚恤金、生活补助、医疗费补助。</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公用经费23.29万元，主要包括：福利费、其他商品和服务支出。</w:t>
      </w:r>
    </w:p>
    <w:p>
      <w:pPr>
        <w:keepNext w:val="0"/>
        <w:keepLines w:val="0"/>
        <w:pageBreakBefore w:val="0"/>
        <w:widowControl w:val="0"/>
        <w:kinsoku/>
        <w:wordWrap/>
        <w:overflowPunct/>
        <w:topLinePunct w:val="0"/>
        <w:bidi w:val="0"/>
        <w:snapToGrid/>
        <w:spacing w:line="560" w:lineRule="exact"/>
        <w:ind w:firstLine="640"/>
        <w:textAlignment w:val="auto"/>
        <w:outlineLvl w:val="1"/>
        <w:rPr>
          <w:rStyle w:val="31"/>
          <w:rFonts w:ascii="黑体" w:hAnsi="黑体" w:eastAsia="黑体"/>
          <w:b w:val="0"/>
        </w:rPr>
      </w:pPr>
      <w:bookmarkStart w:id="24" w:name="_Toc15396609"/>
      <w:bookmarkStart w:id="25"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24"/>
      <w:bookmarkEnd w:id="25"/>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 w:hAnsi="仿宋" w:eastAsia="仿宋"/>
          <w:b/>
          <w:sz w:val="32"/>
          <w:szCs w:val="32"/>
        </w:rPr>
      </w:pPr>
      <w:bookmarkStart w:id="26" w:name="_Toc15377216"/>
      <w:r>
        <w:rPr>
          <w:rFonts w:hint="eastAsia" w:ascii="仿宋" w:hAnsi="仿宋" w:eastAsia="仿宋"/>
          <w:b/>
          <w:sz w:val="32"/>
          <w:szCs w:val="32"/>
        </w:rPr>
        <w:t>（一）“三公”经费财政拨款支出决算总体情况说明</w:t>
      </w:r>
      <w:bookmarkEnd w:id="26"/>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kern w:val="2"/>
          <w:sz w:val="33"/>
          <w:szCs w:val="33"/>
          <w:lang w:val="en-US" w:eastAsia="zh-CN" w:bidi="ar-SA"/>
        </w:rPr>
      </w:pPr>
      <w:r>
        <w:rPr>
          <w:rFonts w:hint="eastAsia" w:ascii="仿宋" w:hAnsi="仿宋" w:eastAsia="仿宋" w:cs="仿宋"/>
          <w:kern w:val="2"/>
          <w:sz w:val="32"/>
          <w:szCs w:val="32"/>
          <w:lang w:val="en-US" w:eastAsia="zh-CN" w:bidi="ar-SA"/>
        </w:rPr>
        <w:t>2023年“三公”经费财政拨款支出决算为0万元。</w:t>
      </w:r>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 w:hAnsi="仿宋" w:eastAsia="仿宋"/>
          <w:b/>
          <w:sz w:val="32"/>
          <w:szCs w:val="32"/>
        </w:rPr>
      </w:pPr>
      <w:bookmarkStart w:id="27" w:name="_Toc15377217"/>
      <w:r>
        <w:rPr>
          <w:rFonts w:hint="eastAsia" w:ascii="仿宋" w:hAnsi="仿宋" w:eastAsia="仿宋"/>
          <w:b/>
          <w:sz w:val="32"/>
          <w:szCs w:val="32"/>
        </w:rPr>
        <w:t>（二）“三公”经费财政拨款支出决算具体情况说明</w:t>
      </w:r>
      <w:bookmarkEnd w:id="27"/>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2023年“三公”经费财政拨款支出决算中，因公出国（境）费支出决算0万元；公务用车购置及运行维护费支出决算0万元；公务接待费支出决算0万元。</w:t>
      </w:r>
    </w:p>
    <w:p>
      <w:pPr>
        <w:keepNext w:val="0"/>
        <w:keepLines w:val="0"/>
        <w:pageBreakBefore w:val="0"/>
        <w:widowControl w:val="0"/>
        <w:numPr>
          <w:ilvl w:val="0"/>
          <w:numId w:val="3"/>
        </w:numPr>
        <w:kinsoku/>
        <w:wordWrap/>
        <w:overflowPunct/>
        <w:topLinePunct w:val="0"/>
        <w:bidi w:val="0"/>
        <w:snapToGrid/>
        <w:spacing w:line="560" w:lineRule="exact"/>
        <w:ind w:firstLine="64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val="0"/>
          <w:sz w:val="32"/>
          <w:szCs w:val="32"/>
        </w:rPr>
        <w:t>因公出国（境）经费支出</w:t>
      </w:r>
      <w:r>
        <w:rPr>
          <w:rFonts w:hint="eastAsia" w:ascii="仿宋" w:hAnsi="仿宋" w:eastAsia="仿宋" w:cs="仿宋"/>
          <w:b/>
          <w:bCs w:val="0"/>
          <w:kern w:val="2"/>
          <w:sz w:val="32"/>
          <w:szCs w:val="32"/>
          <w:lang w:val="en-US" w:eastAsia="zh-CN" w:bidi="ar-SA"/>
        </w:rPr>
        <w:t>0万元。</w:t>
      </w:r>
      <w:r>
        <w:rPr>
          <w:rFonts w:hint="eastAsia" w:ascii="仿宋" w:hAnsi="仿宋" w:eastAsia="仿宋" w:cs="仿宋"/>
          <w:kern w:val="2"/>
          <w:sz w:val="32"/>
          <w:szCs w:val="32"/>
          <w:lang w:val="en-US" w:eastAsia="zh-CN" w:bidi="ar-SA"/>
        </w:rPr>
        <w:t>全年安排因公出国（境）团组0次，出国（境）0人。因公出国（境）支出决算与2022年持平。</w:t>
      </w:r>
    </w:p>
    <w:p>
      <w:pPr>
        <w:keepNext w:val="0"/>
        <w:keepLines w:val="0"/>
        <w:pageBreakBefore w:val="0"/>
        <w:widowControl w:val="0"/>
        <w:numPr>
          <w:ilvl w:val="0"/>
          <w:numId w:val="3"/>
        </w:numPr>
        <w:kinsoku/>
        <w:wordWrap/>
        <w:overflowPunct/>
        <w:topLinePunct w:val="0"/>
        <w:bidi w:val="0"/>
        <w:snapToGrid/>
        <w:spacing w:line="560" w:lineRule="exact"/>
        <w:ind w:firstLine="640"/>
        <w:textAlignment w:val="auto"/>
        <w:rPr>
          <w:rFonts w:hint="eastAsia" w:ascii="仿宋" w:hAnsi="仿宋" w:eastAsia="仿宋" w:cs="仿宋"/>
          <w:b/>
          <w:sz w:val="32"/>
          <w:szCs w:val="32"/>
        </w:rPr>
      </w:pPr>
      <w:r>
        <w:rPr>
          <w:rFonts w:hint="eastAsia" w:ascii="仿宋" w:hAnsi="仿宋" w:eastAsia="仿宋" w:cs="仿宋"/>
          <w:b/>
          <w:bCs w:val="0"/>
          <w:sz w:val="32"/>
          <w:szCs w:val="32"/>
        </w:rPr>
        <w:t>公务用车购置及运行维护费支出</w:t>
      </w:r>
      <w:r>
        <w:rPr>
          <w:rFonts w:hint="eastAsia" w:ascii="仿宋" w:hAnsi="仿宋" w:eastAsia="仿宋" w:cs="仿宋"/>
          <w:b/>
          <w:bCs w:val="0"/>
          <w:kern w:val="2"/>
          <w:sz w:val="32"/>
          <w:szCs w:val="32"/>
          <w:lang w:val="en-US" w:eastAsia="zh-CN" w:bidi="ar-SA"/>
        </w:rPr>
        <w:t>0万元。</w:t>
      </w:r>
      <w:r>
        <w:rPr>
          <w:rFonts w:hint="eastAsia" w:ascii="仿宋" w:hAnsi="仿宋" w:eastAsia="仿宋" w:cs="仿宋"/>
          <w:kern w:val="2"/>
          <w:sz w:val="32"/>
          <w:szCs w:val="32"/>
          <w:lang w:val="en-US" w:eastAsia="zh-CN" w:bidi="ar-SA"/>
        </w:rPr>
        <w:t>公务用车购置及运行维护费支出决算与2022年持平。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其中：</w:t>
      </w:r>
      <w:r>
        <w:rPr>
          <w:rFonts w:hint="eastAsia" w:ascii="仿宋" w:hAnsi="仿宋" w:eastAsia="仿宋" w:cs="仿宋"/>
          <w:b w:val="0"/>
          <w:bCs/>
          <w:sz w:val="32"/>
          <w:szCs w:val="32"/>
        </w:rPr>
        <w:t>公务用车购置支出</w:t>
      </w:r>
      <w:r>
        <w:rPr>
          <w:rFonts w:hint="eastAsia" w:ascii="仿宋" w:hAnsi="仿宋" w:eastAsia="仿宋" w:cs="仿宋"/>
          <w:kern w:val="2"/>
          <w:sz w:val="32"/>
          <w:szCs w:val="32"/>
          <w:lang w:val="en-US" w:eastAsia="zh-CN" w:bidi="ar-SA"/>
        </w:rPr>
        <w:t>0万元。全年按规定更新购置公务用车0辆，其中：轿车0辆、金额0万元，越野车0辆、金额0万元，载客汽车0辆、金额0万元。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公务用车运行维护费支出</w:t>
      </w:r>
      <w:r>
        <w:rPr>
          <w:rFonts w:hint="eastAsia" w:ascii="仿宋" w:hAnsi="仿宋" w:eastAsia="仿宋" w:cs="仿宋"/>
          <w:b w:val="0"/>
          <w:bCs/>
          <w:kern w:val="2"/>
          <w:sz w:val="32"/>
          <w:szCs w:val="32"/>
          <w:lang w:val="en-US" w:eastAsia="zh-CN" w:bidi="ar-SA"/>
        </w:rPr>
        <w:t>0万元。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rPr>
        <w:t>3.</w:t>
      </w:r>
      <w:r>
        <w:rPr>
          <w:rFonts w:hint="eastAsia" w:ascii="仿宋" w:hAnsi="仿宋" w:eastAsia="仿宋" w:cs="仿宋"/>
          <w:b/>
          <w:bCs w:val="0"/>
          <w:sz w:val="32"/>
          <w:szCs w:val="32"/>
        </w:rPr>
        <w:t>公务接待费支出</w:t>
      </w:r>
      <w:r>
        <w:rPr>
          <w:rFonts w:hint="eastAsia" w:ascii="仿宋" w:hAnsi="仿宋" w:eastAsia="仿宋" w:cs="仿宋"/>
          <w:b/>
          <w:bCs w:val="0"/>
          <w:kern w:val="2"/>
          <w:sz w:val="32"/>
          <w:szCs w:val="32"/>
          <w:lang w:val="en-US" w:eastAsia="zh-CN" w:bidi="ar-SA"/>
        </w:rPr>
        <w:t>0万元。</w:t>
      </w:r>
      <w:r>
        <w:rPr>
          <w:rFonts w:hint="eastAsia" w:ascii="仿宋" w:hAnsi="仿宋" w:eastAsia="仿宋" w:cs="仿宋"/>
          <w:kern w:val="2"/>
          <w:sz w:val="32"/>
          <w:szCs w:val="32"/>
          <w:lang w:val="en-US" w:eastAsia="zh-CN" w:bidi="ar-SA"/>
        </w:rPr>
        <w:t>公务接待费支出决算比2022年持平。其中：</w:t>
      </w:r>
      <w:r>
        <w:rPr>
          <w:rFonts w:hint="eastAsia" w:ascii="仿宋" w:hAnsi="仿宋" w:eastAsia="仿宋" w:cs="仿宋"/>
          <w:b w:val="0"/>
          <w:bCs/>
          <w:sz w:val="32"/>
          <w:szCs w:val="32"/>
        </w:rPr>
        <w:t>国内公务接待支出</w:t>
      </w:r>
      <w:r>
        <w:rPr>
          <w:rFonts w:hint="eastAsia" w:ascii="仿宋" w:hAnsi="仿宋" w:eastAsia="仿宋" w:cs="仿宋"/>
          <w:b w:val="0"/>
          <w:bCs/>
          <w:kern w:val="2"/>
          <w:sz w:val="32"/>
          <w:szCs w:val="32"/>
          <w:lang w:val="en-US" w:eastAsia="zh-CN" w:bidi="ar-SA"/>
        </w:rPr>
        <w:t>0万元；</w:t>
      </w:r>
      <w:r>
        <w:rPr>
          <w:rFonts w:hint="eastAsia" w:ascii="仿宋" w:hAnsi="仿宋" w:eastAsia="仿宋" w:cs="仿宋"/>
          <w:b w:val="0"/>
          <w:bCs/>
          <w:sz w:val="32"/>
          <w:szCs w:val="32"/>
        </w:rPr>
        <w:t>外事接待支出</w:t>
      </w:r>
      <w:r>
        <w:rPr>
          <w:rFonts w:hint="eastAsia" w:ascii="仿宋" w:hAnsi="仿宋" w:eastAsia="仿宋" w:cs="仿宋"/>
          <w:b w:val="0"/>
          <w:bCs/>
          <w:kern w:val="2"/>
          <w:sz w:val="32"/>
          <w:szCs w:val="32"/>
          <w:lang w:val="en-US" w:eastAsia="zh-CN" w:bidi="ar-SA"/>
        </w:rPr>
        <w:t>0万元。</w:t>
      </w:r>
      <w:bookmarkStart w:id="28" w:name="_Toc15396610"/>
      <w:bookmarkStart w:id="29" w:name="_Toc15377218"/>
    </w:p>
    <w:p>
      <w:pPr>
        <w:keepNext w:val="0"/>
        <w:keepLines w:val="0"/>
        <w:pageBreakBefore w:val="0"/>
        <w:widowControl w:val="0"/>
        <w:kinsoku/>
        <w:wordWrap/>
        <w:overflowPunct/>
        <w:topLinePunct w:val="0"/>
        <w:bidi w:val="0"/>
        <w:snapToGrid/>
        <w:spacing w:line="560" w:lineRule="exact"/>
        <w:ind w:firstLine="640"/>
        <w:textAlignment w:val="auto"/>
        <w:outlineLvl w:val="1"/>
        <w:rPr>
          <w:rStyle w:val="31"/>
          <w:rFonts w:ascii="黑体" w:hAnsi="黑体" w:eastAsia="黑体"/>
        </w:rPr>
      </w:pPr>
      <w:r>
        <w:rPr>
          <w:rFonts w:hint="eastAsia" w:ascii="黑体" w:eastAsia="黑体"/>
          <w:sz w:val="32"/>
          <w:szCs w:val="32"/>
        </w:rPr>
        <w:t>八、</w:t>
      </w:r>
      <w:r>
        <w:rPr>
          <w:rStyle w:val="31"/>
          <w:rFonts w:hint="eastAsia" w:ascii="黑体" w:hAnsi="黑体" w:eastAsia="黑体"/>
          <w:b w:val="0"/>
        </w:rPr>
        <w:t>政府性基金预算支出决算情况说明</w:t>
      </w:r>
      <w:bookmarkEnd w:id="28"/>
      <w:bookmarkEnd w:id="29"/>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2023年政府性基金预算财政拨款支出0万元。</w:t>
      </w:r>
    </w:p>
    <w:p>
      <w:pPr>
        <w:keepNext w:val="0"/>
        <w:keepLines w:val="0"/>
        <w:pageBreakBefore w:val="0"/>
        <w:widowControl w:val="0"/>
        <w:numPr>
          <w:ilvl w:val="0"/>
          <w:numId w:val="4"/>
        </w:numPr>
        <w:kinsoku/>
        <w:wordWrap/>
        <w:overflowPunct/>
        <w:topLinePunct w:val="0"/>
        <w:bidi w:val="0"/>
        <w:snapToGrid/>
        <w:spacing w:line="560" w:lineRule="exact"/>
        <w:ind w:firstLine="640"/>
        <w:textAlignment w:val="auto"/>
        <w:outlineLvl w:val="1"/>
        <w:rPr>
          <w:rStyle w:val="31"/>
          <w:rFonts w:ascii="黑体" w:hAnsi="黑体" w:eastAsia="黑体"/>
          <w:b w:val="0"/>
        </w:rPr>
      </w:pPr>
      <w:bookmarkStart w:id="30" w:name="_Toc15396611"/>
      <w:bookmarkStart w:id="31" w:name="_Toc15377219"/>
      <w:r>
        <w:rPr>
          <w:rStyle w:val="31"/>
          <w:rFonts w:hint="eastAsia" w:ascii="黑体" w:hAnsi="黑体" w:eastAsia="黑体"/>
          <w:b w:val="0"/>
        </w:rPr>
        <w:t>国有资本经营预算支出决算情况说明</w:t>
      </w:r>
      <w:bookmarkEnd w:id="30"/>
      <w:bookmarkEnd w:id="31"/>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2023年国有资本经营预算财政拨款支出0万元。</w:t>
      </w:r>
    </w:p>
    <w:p>
      <w:pPr>
        <w:keepNext w:val="0"/>
        <w:keepLines w:val="0"/>
        <w:pageBreakBefore w:val="0"/>
        <w:widowControl w:val="0"/>
        <w:numPr>
          <w:ilvl w:val="0"/>
          <w:numId w:val="4"/>
        </w:numPr>
        <w:kinsoku/>
        <w:wordWrap/>
        <w:overflowPunct/>
        <w:topLinePunct w:val="0"/>
        <w:bidi w:val="0"/>
        <w:snapToGrid/>
        <w:spacing w:line="560" w:lineRule="exact"/>
        <w:ind w:firstLine="640"/>
        <w:textAlignment w:val="auto"/>
        <w:outlineLvl w:val="1"/>
        <w:rPr>
          <w:rStyle w:val="31"/>
          <w:rFonts w:ascii="黑体" w:hAnsi="黑体" w:eastAsia="黑体"/>
          <w:b w:val="0"/>
        </w:rPr>
      </w:pPr>
      <w:bookmarkStart w:id="32" w:name="_Toc15396612"/>
      <w:bookmarkStart w:id="33" w:name="_Toc15377221"/>
      <w:r>
        <w:rPr>
          <w:rStyle w:val="31"/>
          <w:rFonts w:hint="eastAsia" w:ascii="黑体" w:hAnsi="黑体" w:eastAsia="黑体"/>
          <w:b w:val="0"/>
        </w:rPr>
        <w:t>其他重要事项的情况说明</w:t>
      </w:r>
      <w:bookmarkEnd w:id="32"/>
      <w:bookmarkEnd w:id="33"/>
    </w:p>
    <w:p>
      <w:pPr>
        <w:keepNext w:val="0"/>
        <w:keepLines w:val="0"/>
        <w:pageBreakBefore w:val="0"/>
        <w:widowControl w:val="0"/>
        <w:kinsoku/>
        <w:wordWrap/>
        <w:overflowPunct/>
        <w:topLinePunct w:val="0"/>
        <w:bidi w:val="0"/>
        <w:snapToGrid/>
        <w:spacing w:line="560" w:lineRule="exact"/>
        <w:ind w:firstLine="642" w:firstLineChars="200"/>
        <w:textAlignment w:val="auto"/>
        <w:outlineLvl w:val="2"/>
        <w:rPr>
          <w:rFonts w:ascii="仿宋" w:hAnsi="仿宋" w:eastAsia="仿宋"/>
          <w:sz w:val="32"/>
          <w:szCs w:val="32"/>
        </w:rPr>
      </w:pPr>
      <w:bookmarkStart w:id="34" w:name="_Toc15377222"/>
      <w:r>
        <w:rPr>
          <w:rFonts w:hint="eastAsia" w:ascii="仿宋" w:hAnsi="仿宋" w:eastAsia="仿宋"/>
          <w:b/>
          <w:sz w:val="32"/>
          <w:szCs w:val="32"/>
        </w:rPr>
        <w:t>（一）机关运行经费支出情况</w:t>
      </w:r>
      <w:bookmarkEnd w:id="34"/>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2023年，攀枝花市总工会机关运行经费支出23.29万元，比2022年增加20.99万元，增长912.61%。主要原因是增加了离退休人员党建经费及公用经费。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jc w:val="left"/>
        <w:textAlignment w:val="auto"/>
        <w:outlineLvl w:val="2"/>
        <w:rPr>
          <w:rFonts w:ascii="仿宋" w:hAnsi="仿宋" w:eastAsia="仿宋"/>
          <w:b/>
          <w:sz w:val="32"/>
          <w:szCs w:val="32"/>
        </w:rPr>
      </w:pPr>
      <w:bookmarkStart w:id="35" w:name="_Toc15377223"/>
      <w:r>
        <w:rPr>
          <w:rFonts w:hint="eastAsia" w:ascii="仿宋" w:hAnsi="仿宋" w:eastAsia="仿宋"/>
          <w:b/>
          <w:sz w:val="32"/>
          <w:szCs w:val="32"/>
        </w:rPr>
        <w:t>（二）政府采购支出情况</w:t>
      </w:r>
      <w:bookmarkEnd w:id="35"/>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2023年，攀枝花市总工会政府采购支出总额0万元。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jc w:val="left"/>
        <w:textAlignment w:val="auto"/>
        <w:outlineLvl w:val="2"/>
        <w:rPr>
          <w:rFonts w:ascii="仿宋" w:hAnsi="仿宋" w:eastAsia="仿宋"/>
          <w:b/>
          <w:sz w:val="32"/>
          <w:szCs w:val="32"/>
        </w:rPr>
      </w:pPr>
      <w:bookmarkStart w:id="36" w:name="_Toc15377224"/>
      <w:r>
        <w:rPr>
          <w:rFonts w:hint="eastAsia" w:ascii="仿宋" w:hAnsi="仿宋" w:eastAsia="仿宋"/>
          <w:b/>
          <w:sz w:val="32"/>
          <w:szCs w:val="32"/>
        </w:rPr>
        <w:t>（三）国有资产占有使用情况</w:t>
      </w:r>
      <w:bookmarkEnd w:id="36"/>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sz w:val="32"/>
          <w:szCs w:val="32"/>
        </w:rPr>
      </w:pPr>
      <w:r>
        <w:rPr>
          <w:rFonts w:hint="eastAsia" w:ascii="仿宋" w:hAnsi="仿宋" w:eastAsia="仿宋" w:cs="仿宋"/>
          <w:kern w:val="2"/>
          <w:sz w:val="32"/>
          <w:szCs w:val="32"/>
          <w:lang w:val="en-US" w:eastAsia="zh-CN" w:bidi="ar-SA"/>
        </w:rPr>
        <w:t>截至2023年12月31日，攀枝花市总工会共有车辆0辆。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kern w:val="2"/>
          <w:sz w:val="32"/>
          <w:szCs w:val="32"/>
          <w:lang w:val="en-US" w:eastAsia="zh-CN" w:bidi="ar-SA"/>
        </w:rPr>
        <w:t>根据预算绩效管理要求，本部门在2023年度预算编制阶段，组织对省级工会专项资金项目开展了预算事前绩效评估，对6个项目编制了绩效目标，预算执行过程中，选取1个项目开展绩效监控，</w:t>
      </w:r>
      <w:r>
        <w:rPr>
          <w:rFonts w:hint="eastAsia" w:ascii="仿宋" w:hAnsi="仿宋" w:eastAsia="仿宋" w:cs="仿宋"/>
          <w:color w:val="auto"/>
          <w:sz w:val="32"/>
          <w:szCs w:val="32"/>
          <w:highlight w:val="none"/>
          <w:lang w:eastAsia="zh-CN"/>
        </w:rPr>
        <w:t>组织对</w:t>
      </w:r>
      <w:r>
        <w:rPr>
          <w:rFonts w:hint="eastAsia" w:ascii="仿宋" w:hAnsi="仿宋" w:eastAsia="仿宋" w:cs="仿宋"/>
          <w:color w:val="auto"/>
          <w:sz w:val="32"/>
          <w:szCs w:val="32"/>
          <w:highlight w:val="none"/>
          <w:lang w:val="en-US" w:eastAsia="zh-CN"/>
        </w:rPr>
        <w:t>6个项目开展绩效自评，绩效自评表详见第四部分附件。</w:t>
      </w: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rPr>
          <w:rFonts w:hint="eastAsia" w:ascii="仿宋_GB2312"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bidi w:val="0"/>
        <w:snapToGrid/>
        <w:spacing w:line="560" w:lineRule="exact"/>
        <w:ind w:firstLine="640"/>
        <w:textAlignment w:val="auto"/>
        <w:rPr>
          <w:rFonts w:hint="eastAsia" w:ascii="Times New Roman" w:hAnsi="Times New Roman" w:eastAsia="方正仿宋_GBK" w:cs="Times New Roman"/>
          <w:kern w:val="2"/>
          <w:sz w:val="33"/>
          <w:szCs w:val="33"/>
          <w:lang w:val="en-US" w:eastAsia="zh-CN" w:bidi="ar-SA"/>
        </w:rPr>
      </w:pPr>
    </w:p>
    <w:p>
      <w:pPr>
        <w:numPr>
          <w:ilvl w:val="0"/>
          <w:numId w:val="5"/>
        </w:numPr>
        <w:spacing w:line="600" w:lineRule="exact"/>
        <w:ind w:firstLine="660" w:firstLineChars="150"/>
        <w:jc w:val="center"/>
        <w:outlineLvl w:val="0"/>
        <w:rPr>
          <w:rStyle w:val="30"/>
          <w:rFonts w:ascii="黑体" w:hAnsi="黑体" w:eastAsia="黑体"/>
          <w:b w:val="0"/>
        </w:rPr>
      </w:pPr>
      <w:bookmarkStart w:id="37" w:name="_Toc15377225"/>
      <w:bookmarkStart w:id="38" w:name="_Toc15396613"/>
      <w:r>
        <w:rPr>
          <w:rFonts w:hint="eastAsia" w:ascii="黑体" w:hAnsi="黑体" w:eastAsia="黑体"/>
          <w:sz w:val="44"/>
          <w:szCs w:val="44"/>
        </w:rPr>
        <w:t>名</w:t>
      </w:r>
      <w:r>
        <w:rPr>
          <w:rStyle w:val="30"/>
          <w:rFonts w:hint="eastAsia" w:ascii="黑体" w:hAnsi="黑体" w:eastAsia="黑体"/>
          <w:b w:val="0"/>
        </w:rPr>
        <w:t>词解释</w:t>
      </w:r>
      <w:bookmarkEnd w:id="37"/>
      <w:bookmarkEnd w:id="38"/>
    </w:p>
    <w:p>
      <w:pPr>
        <w:spacing w:line="600" w:lineRule="exact"/>
        <w:jc w:val="left"/>
        <w:rPr>
          <w:rFonts w:ascii="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4.一般公共服务（类）群众团体事务（款）其他群众团体事务（项）：指其他用于群众团体事务方面的支出。</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5.一般公共服务（类）组织事务（款）其他组织事务（项）：指其他用于中国共产党组织部门的事务支出。</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6.社会保障和就业（类）行政事业单位养老（款）行政单位离退休（项）：指行政单位（包括实行公务员管理的事业单位）开支的离退休经费。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7.社会保障和就业（类）行政事业单位养老（款）事业单位离退休（项）：指事业单位开支的离退休经费。</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8.社会保障和就业（类）抚恤（款）死亡抚恤（项）：指按规定用于烈士和牺牲、病故人员家属的一次性和定期抚恤金、丧葬补助费以及烈士褒扬金。</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10.项目支出：指在基本支出之外为完成特定行政任务和事业发展目标所发生的支出。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52"/>
          <w:rFonts w:hint="eastAsia" w:ascii="黑体" w:hAnsi="黑体" w:eastAsia="黑体"/>
          <w:b w:val="0"/>
          <w:color w:val="auto"/>
          <w:highlight w:val="none"/>
          <w:lang w:eastAsia="zh-CN"/>
        </w:rPr>
      </w:pPr>
      <w:bookmarkStart w:id="39" w:name="_Toc15377226"/>
      <w:r>
        <w:rPr>
          <w:rFonts w:hint="eastAsia" w:ascii="Times New Roman" w:hAnsi="Times New Roman" w:eastAsia="方正仿宋_GBK" w:cs="Times New Roman"/>
          <w:kern w:val="2"/>
          <w:sz w:val="33"/>
          <w:szCs w:val="33"/>
          <w:lang w:val="en-US" w:eastAsia="zh-CN" w:bidi="ar-SA"/>
        </w:rPr>
        <w:br w:type="page"/>
      </w:r>
      <w:bookmarkStart w:id="40" w:name="_Toc15396614"/>
      <w:r>
        <w:rPr>
          <w:rFonts w:hint="eastAsia" w:eastAsia="方正仿宋_GBK" w:cs="Times New Roman"/>
          <w:kern w:val="2"/>
          <w:sz w:val="33"/>
          <w:szCs w:val="33"/>
          <w:lang w:val="en-US" w:eastAsia="zh-CN" w:bidi="ar-SA"/>
        </w:rPr>
        <w:t xml:space="preserve"> </w:t>
      </w:r>
      <w:bookmarkEnd w:id="40"/>
      <w:r>
        <w:rPr>
          <w:rFonts w:hint="eastAsia" w:ascii="黑体" w:hAnsi="黑体" w:eastAsia="黑体"/>
          <w:color w:val="auto"/>
          <w:sz w:val="44"/>
          <w:szCs w:val="44"/>
          <w:highlight w:val="none"/>
        </w:rPr>
        <w:t>第</w:t>
      </w:r>
      <w:r>
        <w:rPr>
          <w:rStyle w:val="52"/>
          <w:rFonts w:hint="eastAsia" w:ascii="黑体" w:hAnsi="黑体" w:eastAsia="黑体"/>
          <w:b w:val="0"/>
          <w:color w:val="auto"/>
          <w:highlight w:val="none"/>
        </w:rPr>
        <w:t>四部分 附件</w:t>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lang w:val="en-US"/>
        </w:rPr>
      </w:pPr>
      <w:r>
        <w:rPr>
          <w:rFonts w:hint="eastAsia" w:eastAsia="方正小标宋简体" w:cs="Times New Roman"/>
          <w:b w:val="0"/>
          <w:bCs/>
          <w:sz w:val="44"/>
          <w:szCs w:val="44"/>
          <w:highlight w:val="none"/>
          <w:shd w:val="clear" w:color="auto" w:fill="FFFFFF"/>
          <w:lang w:val="en-US" w:eastAsia="zh-CN"/>
        </w:rPr>
        <w:t>部门预算绩效评价报告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Calibri" w:hAnsi="Calibri" w:eastAsia="黑体" w:cs="Times New Roman"/>
          <w:color w:val="000000"/>
          <w:kern w:val="0"/>
          <w:sz w:val="32"/>
          <w:szCs w:val="32"/>
          <w:highlight w:val="none"/>
          <w:shd w:val="clear" w:color="auto" w:fill="FFFFFF"/>
          <w:lang w:val="zh-CN"/>
        </w:rPr>
      </w:pPr>
      <w:r>
        <w:rPr>
          <w:rFonts w:hint="eastAsia" w:ascii="Calibri" w:hAnsi="Calibri" w:eastAsia="黑体" w:cs="Times New Roman"/>
          <w:color w:val="000000"/>
          <w:kern w:val="0"/>
          <w:sz w:val="32"/>
          <w:szCs w:val="32"/>
          <w:highlight w:val="none"/>
          <w:shd w:val="clear" w:color="auto" w:fill="FFFFFF"/>
          <w:lang w:val="zh-CN"/>
        </w:rPr>
        <w:t>一、</w:t>
      </w:r>
      <w:r>
        <w:rPr>
          <w:rFonts w:hint="default" w:ascii="Calibri" w:hAnsi="Calibri" w:eastAsia="黑体" w:cs="Times New Roman"/>
          <w:color w:val="000000"/>
          <w:kern w:val="0"/>
          <w:sz w:val="32"/>
          <w:szCs w:val="32"/>
          <w:highlight w:val="none"/>
          <w:shd w:val="clear" w:color="auto" w:fill="FFFFFF"/>
          <w:lang w:val="zh-CN"/>
        </w:rPr>
        <w:t>部门（单位）基本情况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（一）机构组成</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市总工会属独立核算的行政单 位，设11个职能部（室），保障部、法律部、经济技术部、基层工作部、宣教部、女工部、组织部、财务部、网社部、办公室、经费审查委员会办公室。下属非独立核算事业单位2个，分别为攀枝花市总工会职工服务中心、攀枝花市工会信息中心；独立核算事业单位1个为攀枝花市工人文化宫。</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eastAsia="zh-CN"/>
        </w:rPr>
      </w:pPr>
      <w:r>
        <w:rPr>
          <w:rFonts w:hint="eastAsia" w:ascii="仿宋" w:hAnsi="仿宋" w:eastAsia="仿宋" w:cs="仿宋"/>
          <w:b/>
          <w:bCs/>
          <w:color w:val="000000"/>
          <w:kern w:val="0"/>
          <w:sz w:val="32"/>
          <w:szCs w:val="32"/>
          <w:highlight w:val="none"/>
          <w:shd w:val="clear" w:color="auto" w:fill="FFFFFF"/>
          <w:lang w:val="zh-CN" w:eastAsia="zh-CN"/>
        </w:rPr>
        <w:t>（二）机构职能</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 xml:space="preserve">贯彻执行党的路线、方针、政策，确定全市工会工作的指导思想、目标和任务。依照法律和《中国工会章程》，组织和指导各级工会坚定不移地推动党的全心全意依靠工人阶级根本指导方针的贯彻落实，进一步突出和履行维护职能。调查研究与职工利益有关的重大问题，积极反映职工群众的意愿和要求；关注弱势群体和困难群体，向市委、市政府提供情况及相关建议；参与制定有关涉及职工切身利益的政策、措施。对侵犯职工合法权益重大事件进行调查并提出处理意见，配合相关部门参与职工重大伤亡事故的调查处理。指导市属工会、产业（园区）工会、大企业工会组织建设。负责工会理论政策的研究、研究制定工会的组织制度和民主制度，监督检查《中国工会章程》的贯彻执行；研究指导工会的自身改革和建设；指导基层各工会组织职工开展以职工代表大会为基本制度的民主选举、民主决策、民主管理和民主监督工作，推动建立平等协商、集体合同制度和监督保证机制的工作；指导基层工会协助党政不断提高职工的职业道德水平和科学文化素质。做好全国、省、市劳动模范的推荐和评选工作；协助全总、省总做好全市的全国、省、市劳动模范的管理工作。负责全市工会经费的管理、审计工作；会同有关部门制定发展工会事业的政策和规定。制定工会干部管理制度和培训规划，加强工会干部队伍建设。承办市委、市政府交办的有关事项。 </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eastAsia="zh-CN"/>
        </w:rPr>
      </w:pPr>
      <w:r>
        <w:rPr>
          <w:rFonts w:hint="eastAsia" w:ascii="仿宋" w:hAnsi="仿宋" w:eastAsia="仿宋" w:cs="仿宋"/>
          <w:b/>
          <w:bCs/>
          <w:color w:val="000000"/>
          <w:kern w:val="0"/>
          <w:sz w:val="32"/>
          <w:szCs w:val="32"/>
          <w:highlight w:val="none"/>
          <w:shd w:val="clear" w:color="auto" w:fill="FFFFFF"/>
          <w:lang w:val="zh-CN" w:eastAsia="zh-CN"/>
        </w:rPr>
        <w:t>（三）人员概况</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en-US" w:eastAsia="zh-CN"/>
        </w:rPr>
        <w:t>截至2023年末，</w:t>
      </w:r>
      <w:r>
        <w:rPr>
          <w:rFonts w:hint="eastAsia" w:ascii="仿宋" w:hAnsi="仿宋" w:eastAsia="仿宋" w:cs="仿宋"/>
          <w:color w:val="auto"/>
          <w:sz w:val="32"/>
          <w:szCs w:val="32"/>
          <w:lang w:val="zh-CN" w:eastAsia="zh-CN"/>
        </w:rPr>
        <w:t>市总工会行政编制数19人、参公编制14人、事业编制49人，离休1人，退休74人。</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Calibri" w:hAnsi="Calibri" w:eastAsia="黑体" w:cs="Times New Roman"/>
          <w:color w:val="000000"/>
          <w:kern w:val="0"/>
          <w:sz w:val="32"/>
          <w:szCs w:val="32"/>
          <w:highlight w:val="none"/>
          <w:shd w:val="clear" w:color="auto" w:fill="FFFFFF"/>
          <w:lang w:val="zh-CN" w:eastAsia="zh-CN"/>
        </w:rPr>
      </w:pPr>
      <w:r>
        <w:rPr>
          <w:rFonts w:hint="default" w:ascii="Calibri" w:hAnsi="Calibri" w:eastAsia="黑体" w:cs="Times New Roman"/>
          <w:color w:val="000000"/>
          <w:kern w:val="0"/>
          <w:sz w:val="32"/>
          <w:szCs w:val="32"/>
          <w:highlight w:val="none"/>
          <w:shd w:val="clear" w:color="auto" w:fill="FFFFFF"/>
          <w:lang w:val="zh-CN" w:eastAsia="zh-CN"/>
        </w:rPr>
        <w:t>二、部门财政资金收支情况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eastAsia="zh-CN"/>
        </w:rPr>
      </w:pPr>
      <w:r>
        <w:rPr>
          <w:rFonts w:hint="eastAsia" w:ascii="仿宋" w:hAnsi="仿宋" w:eastAsia="仿宋" w:cs="仿宋"/>
          <w:b/>
          <w:bCs/>
          <w:color w:val="000000"/>
          <w:kern w:val="0"/>
          <w:sz w:val="32"/>
          <w:szCs w:val="32"/>
          <w:highlight w:val="none"/>
          <w:shd w:val="clear" w:color="auto" w:fill="FFFFFF"/>
          <w:lang w:val="zh-CN" w:eastAsia="zh-CN"/>
        </w:rPr>
        <w:t>（一）部门财政资金收入情况</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市总工会2023年财政拨款收入1177.7万元。其中一般公共预算财政拨款收入1177.7万元，政府性基金预算财政拨款收入0万元，国有资本经营预算财政拨款收入0元。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eastAsia="zh-CN"/>
        </w:rPr>
      </w:pPr>
      <w:r>
        <w:rPr>
          <w:rFonts w:hint="eastAsia" w:ascii="仿宋" w:hAnsi="仿宋" w:eastAsia="仿宋" w:cs="仿宋"/>
          <w:b/>
          <w:bCs/>
          <w:color w:val="000000"/>
          <w:kern w:val="0"/>
          <w:sz w:val="32"/>
          <w:szCs w:val="32"/>
          <w:highlight w:val="none"/>
          <w:shd w:val="clear" w:color="auto" w:fill="FFFFFF"/>
          <w:lang w:val="zh-CN" w:eastAsia="zh-CN"/>
        </w:rPr>
        <w:t>（二）部门财政资金支出情况</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市总工会2023年财政拨款支出1177.7万元。</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1.基本支出安排及使用情况。2023年市总工会基本支出294.45万元，占总支出的25%。其中，社保保障和就业支出294.45万元。主要包括离退休人员离退休费、离退休人员的生活补助、离退休人员公用经费、遗属人员生活困难补助等</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2.部门预算项目安排及支出情况。2023年市总工会项目支出883.25万元，占总支出的75%。其中，一般公共服务支出883.25万元。主要包括2023年在编在职人员五险一金、向上争取资金返还工作经费、2022年省级工会专项资金、2021-2022年市级劳模专项资金、来（离）攀挂职干部工作补助、市级挂职干部补助、干部异地体检经费等。</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en-US" w:eastAsia="zh-CN"/>
        </w:rPr>
      </w:pPr>
      <w:r>
        <w:rPr>
          <w:rFonts w:hint="eastAsia" w:ascii="仿宋" w:hAnsi="仿宋" w:eastAsia="仿宋" w:cs="仿宋"/>
          <w:b/>
          <w:bCs/>
          <w:color w:val="000000"/>
          <w:kern w:val="0"/>
          <w:sz w:val="32"/>
          <w:szCs w:val="32"/>
          <w:highlight w:val="none"/>
          <w:shd w:val="clear" w:color="auto" w:fill="FFFFFF"/>
          <w:lang w:val="zh-CN" w:eastAsia="zh-CN"/>
        </w:rPr>
        <w:t>（二）</w:t>
      </w:r>
      <w:r>
        <w:rPr>
          <w:rFonts w:hint="eastAsia" w:ascii="仿宋" w:hAnsi="仿宋" w:eastAsia="仿宋" w:cs="仿宋"/>
          <w:b/>
          <w:bCs/>
          <w:color w:val="000000"/>
          <w:kern w:val="0"/>
          <w:sz w:val="32"/>
          <w:szCs w:val="32"/>
          <w:highlight w:val="none"/>
          <w:shd w:val="clear" w:color="auto" w:fill="FFFFFF"/>
          <w:lang w:val="en-US" w:eastAsia="zh-CN"/>
        </w:rPr>
        <w:t>结余分配和结转结余情况</w:t>
      </w:r>
    </w:p>
    <w:p>
      <w:pPr>
        <w:pStyle w:val="3"/>
        <w:spacing w:before="0" w:after="0" w:line="240" w:lineRule="auto"/>
        <w:rPr>
          <w:rFonts w:hint="default" w:ascii="仿宋" w:hAnsi="仿宋" w:eastAsia="仿宋" w:cs="仿宋"/>
          <w:b w:val="0"/>
          <w:bCs w:val="0"/>
          <w:color w:val="auto"/>
          <w:kern w:val="2"/>
          <w:sz w:val="32"/>
          <w:szCs w:val="32"/>
          <w:lang w:val="en-US" w:eastAsia="zh-CN" w:bidi="ar-SA"/>
        </w:rPr>
      </w:pPr>
      <w:r>
        <w:rPr>
          <w:rFonts w:hint="eastAsia"/>
          <w:b w:val="0"/>
          <w:bCs w:val="0"/>
          <w:lang w:val="en-US" w:eastAsia="zh-CN"/>
        </w:rPr>
        <w:t xml:space="preserve">   </w:t>
      </w:r>
      <w:r>
        <w:rPr>
          <w:rFonts w:hint="eastAsia" w:ascii="仿宋" w:hAnsi="仿宋" w:eastAsia="仿宋" w:cs="仿宋"/>
          <w:b w:val="0"/>
          <w:bCs w:val="0"/>
          <w:lang w:val="en-US" w:eastAsia="zh-CN"/>
        </w:rPr>
        <w:t xml:space="preserve"> </w:t>
      </w:r>
      <w:r>
        <w:rPr>
          <w:rFonts w:hint="eastAsia" w:ascii="仿宋" w:hAnsi="仿宋" w:eastAsia="仿宋" w:cs="仿宋"/>
          <w:b w:val="0"/>
          <w:bCs w:val="0"/>
          <w:color w:val="auto"/>
          <w:kern w:val="2"/>
          <w:sz w:val="32"/>
          <w:szCs w:val="32"/>
          <w:lang w:val="en-US" w:eastAsia="zh-CN" w:bidi="ar-SA"/>
        </w:rPr>
        <w:t>市总工会2023年年末无结转结余。</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Calibri" w:hAnsi="Calibri" w:eastAsia="黑体" w:cs="Times New Roman"/>
          <w:color w:val="000000"/>
          <w:kern w:val="0"/>
          <w:sz w:val="32"/>
          <w:szCs w:val="32"/>
          <w:highlight w:val="none"/>
          <w:shd w:val="clear" w:color="auto" w:fill="FFFFFF"/>
          <w:lang w:val="en-US" w:eastAsia="zh-CN"/>
        </w:rPr>
      </w:pPr>
      <w:r>
        <w:rPr>
          <w:rFonts w:hint="default" w:ascii="Calibri" w:hAnsi="Calibri" w:eastAsia="黑体" w:cs="Times New Roman"/>
          <w:color w:val="000000"/>
          <w:kern w:val="0"/>
          <w:sz w:val="32"/>
          <w:szCs w:val="32"/>
          <w:highlight w:val="none"/>
          <w:shd w:val="clear" w:color="auto" w:fill="FFFFFF"/>
          <w:lang w:val="zh-CN" w:eastAsia="zh-CN"/>
        </w:rPr>
        <w:t>三、部门</w:t>
      </w:r>
      <w:r>
        <w:rPr>
          <w:rFonts w:hint="eastAsia" w:ascii="Calibri" w:hAnsi="Calibri" w:eastAsia="黑体" w:cs="Times New Roman"/>
          <w:color w:val="000000"/>
          <w:kern w:val="0"/>
          <w:sz w:val="32"/>
          <w:szCs w:val="32"/>
          <w:highlight w:val="none"/>
          <w:shd w:val="clear" w:color="auto" w:fill="FFFFFF"/>
          <w:lang w:val="en-US" w:eastAsia="zh-CN"/>
        </w:rPr>
        <w:t>预算绩效分析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 w:hAnsi="仿宋" w:eastAsia="仿宋" w:cs="仿宋"/>
          <w:b/>
          <w:bCs/>
          <w:color w:val="000000"/>
          <w:kern w:val="0"/>
          <w:sz w:val="32"/>
          <w:szCs w:val="32"/>
          <w:highlight w:val="none"/>
          <w:shd w:val="clear" w:color="auto" w:fill="FFFFFF"/>
          <w:lang w:val="en-US" w:eastAsia="zh-CN"/>
        </w:rPr>
      </w:pPr>
      <w:r>
        <w:rPr>
          <w:rFonts w:hint="eastAsia" w:ascii="仿宋" w:hAnsi="仿宋" w:eastAsia="仿宋" w:cs="仿宋"/>
          <w:b/>
          <w:bCs/>
          <w:color w:val="000000"/>
          <w:kern w:val="0"/>
          <w:sz w:val="32"/>
          <w:szCs w:val="32"/>
          <w:highlight w:val="none"/>
          <w:shd w:val="clear" w:color="auto" w:fill="FFFFFF"/>
          <w:lang w:val="zh-CN" w:eastAsia="zh-CN"/>
        </w:rPr>
        <w:t>（一）</w:t>
      </w:r>
      <w:r>
        <w:rPr>
          <w:rFonts w:hint="eastAsia" w:ascii="仿宋" w:hAnsi="仿宋" w:eastAsia="仿宋" w:cs="仿宋"/>
          <w:b/>
          <w:bCs/>
          <w:color w:val="000000"/>
          <w:kern w:val="0"/>
          <w:sz w:val="32"/>
          <w:szCs w:val="32"/>
          <w:highlight w:val="none"/>
          <w:shd w:val="clear" w:color="auto" w:fill="FFFFFF"/>
          <w:lang w:val="en-US" w:eastAsia="zh-CN"/>
        </w:rPr>
        <w:t>部门预算总体绩效分析</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1.</w:t>
      </w:r>
      <w:r>
        <w:rPr>
          <w:rFonts w:hint="eastAsia" w:ascii="楷体_GB2312" w:hAnsi="楷体_GB2312" w:eastAsia="楷体_GB2312" w:cs="楷体_GB2312"/>
          <w:color w:val="000000"/>
          <w:kern w:val="0"/>
          <w:sz w:val="32"/>
          <w:szCs w:val="32"/>
          <w:shd w:val="clear" w:color="auto" w:fill="FFFFFF"/>
          <w:lang w:val="en-US" w:eastAsia="zh-CN"/>
        </w:rPr>
        <w:t>履职效能</w:t>
      </w:r>
      <w:r>
        <w:rPr>
          <w:rFonts w:hint="eastAsia" w:ascii="楷体_GB2312" w:hAnsi="楷体_GB2312" w:eastAsia="楷体_GB2312" w:cs="楷体_GB2312"/>
          <w:color w:val="000000"/>
          <w:kern w:val="0"/>
          <w:sz w:val="32"/>
          <w:szCs w:val="32"/>
          <w:shd w:val="clear" w:color="auto" w:fill="FFFFFF"/>
          <w:lang w:val="zh-CN" w:eastAsia="zh-CN"/>
        </w:rPr>
        <w:t>。</w:t>
      </w:r>
      <w:r>
        <w:rPr>
          <w:rFonts w:hint="eastAsia" w:ascii="仿宋" w:hAnsi="仿宋" w:eastAsia="仿宋" w:cs="仿宋"/>
          <w:color w:val="auto"/>
          <w:sz w:val="32"/>
          <w:szCs w:val="32"/>
          <w:lang w:val="zh-CN" w:eastAsia="zh-CN"/>
        </w:rPr>
        <w:t>2023年，</w:t>
      </w:r>
      <w:r>
        <w:rPr>
          <w:rFonts w:hint="eastAsia" w:ascii="仿宋" w:hAnsi="仿宋" w:eastAsia="仿宋" w:cs="仿宋"/>
          <w:color w:val="auto"/>
          <w:sz w:val="32"/>
          <w:szCs w:val="32"/>
          <w:lang w:val="en-US" w:eastAsia="zh-CN"/>
        </w:rPr>
        <w:t>市总工会</w:t>
      </w:r>
      <w:r>
        <w:rPr>
          <w:rFonts w:hint="eastAsia" w:ascii="仿宋" w:hAnsi="仿宋" w:eastAsia="仿宋" w:cs="仿宋"/>
          <w:color w:val="auto"/>
          <w:sz w:val="32"/>
          <w:szCs w:val="32"/>
          <w:lang w:val="zh-CN" w:eastAsia="zh-CN"/>
        </w:rPr>
        <w:t>根据年初工作规划，把“维护职工合法权益”、“广泛开展劳动技能竞赛”、“关爱帮扶困难职工”、“持续夯实基层工会组织基础”、“支持职工的法律权利”、“加强工会干部队伍建设”作为重点工作</w:t>
      </w:r>
      <w:r>
        <w:rPr>
          <w:rFonts w:hint="eastAsia" w:ascii="仿宋" w:hAnsi="仿宋" w:eastAsia="仿宋" w:cs="仿宋"/>
          <w:color w:val="auto"/>
          <w:sz w:val="32"/>
          <w:szCs w:val="32"/>
          <w:lang w:val="en-US" w:eastAsia="zh-CN"/>
        </w:rPr>
        <w:t>完成</w:t>
      </w:r>
      <w:r>
        <w:rPr>
          <w:rFonts w:hint="eastAsia" w:ascii="仿宋" w:hAnsi="仿宋" w:eastAsia="仿宋" w:cs="仿宋"/>
          <w:color w:val="auto"/>
          <w:sz w:val="32"/>
          <w:szCs w:val="32"/>
          <w:lang w:val="zh-CN" w:eastAsia="zh-CN"/>
        </w:rPr>
        <w:t>。</w:t>
      </w:r>
    </w:p>
    <w:p>
      <w:pPr>
        <w:adjustRightInd w:val="0"/>
        <w:snapToGrid w:val="0"/>
        <w:spacing w:line="578" w:lineRule="exact"/>
        <w:ind w:firstLine="640" w:firstLineChars="200"/>
        <w:jc w:val="left"/>
        <w:rPr>
          <w:rFonts w:eastAsia="仿宋_GB2312"/>
          <w:snapToGrid w:val="0"/>
          <w:color w:val="000000"/>
          <w:sz w:val="32"/>
          <w:szCs w:val="32"/>
        </w:rPr>
      </w:pPr>
      <w:r>
        <w:rPr>
          <w:rFonts w:ascii="楷体_GB2312" w:hAnsi="楷体_GB2312" w:eastAsia="楷体_GB2312" w:cs="楷体_GB2312"/>
          <w:color w:val="000000"/>
          <w:kern w:val="0"/>
          <w:sz w:val="32"/>
          <w:szCs w:val="32"/>
          <w:shd w:val="clear" w:color="auto" w:fill="FFFFFF"/>
        </w:rPr>
        <w:t>2.</w:t>
      </w:r>
      <w:r>
        <w:rPr>
          <w:rFonts w:hint="eastAsia" w:ascii="楷体_GB2312" w:hAnsi="楷体_GB2312" w:eastAsia="楷体_GB2312" w:cs="楷体_GB2312"/>
          <w:color w:val="000000"/>
          <w:kern w:val="0"/>
          <w:sz w:val="32"/>
          <w:szCs w:val="32"/>
          <w:shd w:val="clear" w:color="auto" w:fill="FFFFFF"/>
          <w:lang w:val="zh-CN"/>
        </w:rPr>
        <w:t>预算管理。</w:t>
      </w:r>
      <w:r>
        <w:rPr>
          <w:rFonts w:hint="eastAsia" w:eastAsia="仿宋_GB2312" w:cs="仿宋_GB2312"/>
          <w:snapToGrid w:val="0"/>
          <w:color w:val="000000"/>
          <w:sz w:val="32"/>
          <w:szCs w:val="32"/>
        </w:rPr>
        <w:t>市</w:t>
      </w:r>
      <w:r>
        <w:rPr>
          <w:rFonts w:hint="eastAsia" w:eastAsia="仿宋_GB2312" w:cs="仿宋_GB2312"/>
          <w:snapToGrid w:val="0"/>
          <w:color w:val="000000"/>
          <w:sz w:val="32"/>
          <w:szCs w:val="32"/>
          <w:lang w:val="en-US" w:eastAsia="zh-CN"/>
        </w:rPr>
        <w:t>总工会</w:t>
      </w:r>
      <w:r>
        <w:rPr>
          <w:rFonts w:hint="eastAsia" w:eastAsia="仿宋_GB2312" w:cs="仿宋_GB2312"/>
          <w:snapToGrid w:val="0"/>
          <w:color w:val="000000"/>
          <w:sz w:val="32"/>
          <w:szCs w:val="32"/>
        </w:rPr>
        <w:t>严格按照《中华人民共和国预算法》等有关文件精神和要求，规范编制部门预算，切实提高预算编制质量。</w:t>
      </w:r>
    </w:p>
    <w:p>
      <w:pPr>
        <w:spacing w:line="288" w:lineRule="auto"/>
        <w:ind w:firstLine="640" w:firstLineChars="200"/>
        <w:rPr>
          <w:rFonts w:ascii="楷体_GB2312" w:hAnsi="楷体_GB2312" w:eastAsia="楷体_GB2312"/>
          <w:color w:val="000000"/>
          <w:kern w:val="0"/>
          <w:sz w:val="32"/>
          <w:szCs w:val="32"/>
          <w:shd w:val="clear" w:color="auto" w:fill="FFFFFF"/>
        </w:rPr>
      </w:pPr>
      <w:r>
        <w:rPr>
          <w:rFonts w:ascii="楷体_GB2312" w:hAnsi="楷体_GB2312" w:eastAsia="楷体_GB2312" w:cs="楷体_GB2312"/>
          <w:color w:val="000000"/>
          <w:kern w:val="0"/>
          <w:sz w:val="32"/>
          <w:szCs w:val="32"/>
          <w:shd w:val="clear" w:color="auto" w:fill="FFFFFF"/>
        </w:rPr>
        <w:t>3.</w:t>
      </w:r>
      <w:r>
        <w:rPr>
          <w:rFonts w:hint="eastAsia" w:ascii="楷体_GB2312" w:hAnsi="楷体_GB2312" w:eastAsia="楷体_GB2312" w:cs="楷体_GB2312"/>
          <w:color w:val="000000"/>
          <w:kern w:val="0"/>
          <w:sz w:val="32"/>
          <w:szCs w:val="32"/>
          <w:shd w:val="clear" w:color="auto" w:fill="FFFFFF"/>
          <w:lang w:val="zh-CN"/>
        </w:rPr>
        <w:t>财务管理。</w:t>
      </w:r>
      <w:r>
        <w:rPr>
          <w:rFonts w:hint="eastAsia" w:eastAsia="仿宋_GB2312" w:cs="仿宋_GB2312"/>
          <w:sz w:val="32"/>
          <w:szCs w:val="32"/>
        </w:rPr>
        <w:t>市</w:t>
      </w:r>
      <w:r>
        <w:rPr>
          <w:rFonts w:hint="eastAsia" w:eastAsia="仿宋_GB2312" w:cs="仿宋_GB2312"/>
          <w:sz w:val="32"/>
          <w:szCs w:val="32"/>
          <w:lang w:val="en-US" w:eastAsia="zh-CN"/>
        </w:rPr>
        <w:t>总工会</w:t>
      </w:r>
      <w:r>
        <w:rPr>
          <w:rFonts w:hint="eastAsia" w:eastAsia="仿宋_GB2312" w:cs="仿宋_GB2312"/>
          <w:sz w:val="32"/>
          <w:szCs w:val="32"/>
          <w:lang w:val="zh-CN"/>
        </w:rPr>
        <w:t>建立了较为完善的财务管理制度体系，包括预算管理、收支管理、资产管理、财务监督等多个方面，为规范财务行为提供了有力保障；</w:t>
      </w:r>
      <w:r>
        <w:rPr>
          <w:rFonts w:hint="eastAsia" w:eastAsia="仿宋_GB2312" w:cs="仿宋_GB2312"/>
          <w:sz w:val="32"/>
          <w:szCs w:val="32"/>
          <w:lang w:val="en-US" w:eastAsia="zh-CN"/>
        </w:rPr>
        <w:t>配备</w:t>
      </w:r>
      <w:r>
        <w:rPr>
          <w:rFonts w:hint="eastAsia" w:eastAsia="仿宋_GB2312" w:cs="仿宋_GB2312"/>
          <w:sz w:val="32"/>
          <w:szCs w:val="32"/>
        </w:rPr>
        <w:t>专门的财务人员，</w:t>
      </w:r>
      <w:r>
        <w:rPr>
          <w:rFonts w:hint="eastAsia" w:eastAsia="仿宋_GB2312" w:cs="仿宋_GB2312"/>
          <w:sz w:val="32"/>
          <w:szCs w:val="32"/>
          <w:lang w:val="zh-CN"/>
        </w:rPr>
        <w:t>确保财务工作的高效运行；</w:t>
      </w:r>
      <w:r>
        <w:rPr>
          <w:rFonts w:hint="eastAsia" w:eastAsia="仿宋_GB2312" w:cs="仿宋_GB2312"/>
          <w:sz w:val="32"/>
          <w:szCs w:val="32"/>
          <w:lang w:val="en-US" w:eastAsia="zh-CN"/>
        </w:rPr>
        <w:t>严格</w:t>
      </w:r>
      <w:r>
        <w:rPr>
          <w:rFonts w:hint="eastAsia" w:eastAsia="仿宋_GB2312" w:cs="仿宋_GB2312"/>
          <w:sz w:val="32"/>
          <w:szCs w:val="32"/>
        </w:rPr>
        <w:t>按照国家财经法规和财务管理制度规定以及专项资金管理办法的规定办理</w:t>
      </w:r>
      <w:r>
        <w:rPr>
          <w:rFonts w:hint="eastAsia" w:eastAsia="仿宋_GB2312" w:cs="仿宋_GB2312"/>
          <w:sz w:val="32"/>
          <w:szCs w:val="32"/>
          <w:lang w:val="en-US" w:eastAsia="zh-CN"/>
        </w:rPr>
        <w:t>资金结算</w:t>
      </w:r>
      <w:r>
        <w:rPr>
          <w:rFonts w:hint="eastAsia" w:eastAsia="仿宋_GB2312" w:cs="仿宋_GB2312"/>
          <w:sz w:val="32"/>
          <w:szCs w:val="32"/>
          <w:lang w:eastAsia="zh-CN"/>
        </w:rPr>
        <w:t>；</w:t>
      </w:r>
      <w:r>
        <w:rPr>
          <w:rFonts w:hint="eastAsia" w:eastAsia="仿宋_GB2312" w:cs="仿宋_GB2312"/>
          <w:sz w:val="32"/>
          <w:szCs w:val="32"/>
        </w:rPr>
        <w:t>健全会计核算，按照国家统一会计制度的规定设置会计帐薄，依照规定进行会计处理，保证会计指标的口径一致。资金使用无截留、挤占挪用、虚列支出等情况。</w:t>
      </w:r>
    </w:p>
    <w:p>
      <w:pPr>
        <w:adjustRightInd w:val="0"/>
        <w:snapToGrid w:val="0"/>
        <w:spacing w:line="578" w:lineRule="exact"/>
        <w:ind w:firstLine="640" w:firstLineChars="200"/>
        <w:jc w:val="left"/>
        <w:rPr>
          <w:rFonts w:ascii="楷体_GB2312" w:hAnsi="楷体_GB2312" w:eastAsia="楷体_GB2312"/>
          <w:color w:val="000000"/>
          <w:kern w:val="0"/>
          <w:sz w:val="32"/>
          <w:szCs w:val="32"/>
          <w:shd w:val="clear" w:color="auto" w:fill="FFFFFF"/>
          <w:lang w:val="zh-CN"/>
        </w:rPr>
      </w:pPr>
      <w:r>
        <w:rPr>
          <w:rFonts w:ascii="楷体_GB2312" w:hAnsi="楷体_GB2312" w:eastAsia="楷体_GB2312" w:cs="楷体_GB2312"/>
          <w:color w:val="000000"/>
          <w:kern w:val="0"/>
          <w:sz w:val="32"/>
          <w:szCs w:val="32"/>
          <w:shd w:val="clear" w:color="auto" w:fill="FFFFFF"/>
        </w:rPr>
        <w:t>4.</w:t>
      </w:r>
      <w:r>
        <w:rPr>
          <w:rFonts w:hint="eastAsia" w:ascii="楷体_GB2312" w:hAnsi="楷体_GB2312" w:eastAsia="楷体_GB2312" w:cs="楷体_GB2312"/>
          <w:color w:val="000000"/>
          <w:kern w:val="0"/>
          <w:sz w:val="32"/>
          <w:szCs w:val="32"/>
          <w:shd w:val="clear" w:color="auto" w:fill="FFFFFF"/>
          <w:lang w:val="zh-CN"/>
        </w:rPr>
        <w:t>资产管理。</w:t>
      </w:r>
      <w:r>
        <w:rPr>
          <w:rFonts w:hint="eastAsia" w:eastAsia="仿宋_GB2312" w:cs="仿宋_GB2312"/>
          <w:sz w:val="32"/>
          <w:szCs w:val="32"/>
          <w:lang w:val="en-US" w:eastAsia="zh-CN"/>
        </w:rPr>
        <w:t>市总工会</w:t>
      </w:r>
      <w:r>
        <w:rPr>
          <w:rFonts w:hint="eastAsia" w:eastAsia="仿宋_GB2312" w:cs="仿宋_GB2312"/>
          <w:sz w:val="32"/>
          <w:szCs w:val="32"/>
          <w:lang w:val="zh-CN"/>
        </w:rPr>
        <w:t>加强资产管理，建立资产管理制度，分类建立资产卡片，实行资产动态管理。同时单位资产实行“谁使用、谁负责”的管理原则，及时进行资产清查盘点，确保了账实相符。</w:t>
      </w:r>
    </w:p>
    <w:p>
      <w:pPr>
        <w:adjustRightInd w:val="0"/>
        <w:snapToGrid w:val="0"/>
        <w:spacing w:line="578" w:lineRule="exact"/>
        <w:ind w:firstLine="640" w:firstLineChars="200"/>
        <w:jc w:val="left"/>
        <w:rPr>
          <w:rFonts w:hint="eastAsia" w:eastAsia="仿宋_GB2312" w:cs="仿宋_GB2312"/>
          <w:sz w:val="32"/>
          <w:szCs w:val="32"/>
          <w:lang w:val="zh-CN"/>
        </w:rPr>
      </w:pPr>
      <w:r>
        <w:rPr>
          <w:rFonts w:ascii="楷体_GB2312" w:hAnsi="楷体_GB2312" w:eastAsia="楷体_GB2312" w:cs="楷体_GB2312"/>
          <w:color w:val="000000"/>
          <w:kern w:val="0"/>
          <w:sz w:val="32"/>
          <w:szCs w:val="32"/>
          <w:shd w:val="clear" w:color="auto" w:fill="FFFFFF"/>
        </w:rPr>
        <w:t>5.</w:t>
      </w:r>
      <w:r>
        <w:rPr>
          <w:rFonts w:hint="eastAsia" w:ascii="楷体_GB2312" w:hAnsi="楷体_GB2312" w:eastAsia="楷体_GB2312" w:cs="楷体_GB2312"/>
          <w:color w:val="000000"/>
          <w:kern w:val="0"/>
          <w:sz w:val="32"/>
          <w:szCs w:val="32"/>
          <w:shd w:val="clear" w:color="auto" w:fill="FFFFFF"/>
          <w:lang w:val="zh-CN"/>
        </w:rPr>
        <w:t>采购管理。</w:t>
      </w:r>
      <w:r>
        <w:rPr>
          <w:rFonts w:eastAsia="仿宋_GB2312"/>
          <w:sz w:val="32"/>
          <w:szCs w:val="32"/>
          <w:lang w:val="zh-CN"/>
        </w:rPr>
        <w:t>2023</w:t>
      </w:r>
      <w:r>
        <w:rPr>
          <w:rFonts w:hint="eastAsia" w:eastAsia="仿宋_GB2312" w:cs="仿宋_GB2312"/>
          <w:sz w:val="32"/>
          <w:szCs w:val="32"/>
          <w:lang w:val="zh-CN"/>
        </w:rPr>
        <w:t>年</w:t>
      </w:r>
      <w:r>
        <w:rPr>
          <w:rFonts w:hint="eastAsia" w:eastAsia="仿宋_GB2312" w:cs="仿宋_GB2312"/>
          <w:sz w:val="32"/>
          <w:szCs w:val="32"/>
          <w:lang w:val="en-US" w:eastAsia="zh-CN"/>
        </w:rPr>
        <w:t>市总工会</w:t>
      </w:r>
      <w:r>
        <w:rPr>
          <w:rFonts w:hint="eastAsia" w:eastAsia="仿宋_GB2312" w:cs="仿宋_GB2312"/>
          <w:sz w:val="32"/>
          <w:szCs w:val="32"/>
          <w:lang w:val="zh-CN"/>
        </w:rPr>
        <w:t>无集中采购。</w:t>
      </w:r>
    </w:p>
    <w:p>
      <w:pPr>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（二）部门预算项目绩效分析</w:t>
      </w:r>
    </w:p>
    <w:p>
      <w:pPr>
        <w:ind w:firstLine="640" w:firstLineChars="200"/>
        <w:rPr>
          <w:rFonts w:eastAsia="仿宋_GB2312"/>
          <w:sz w:val="32"/>
          <w:szCs w:val="32"/>
          <w:lang w:val="zh-CN"/>
        </w:rPr>
      </w:pPr>
      <w:r>
        <w:rPr>
          <w:rFonts w:hint="eastAsia" w:eastAsia="仿宋_GB2312" w:cs="仿宋_GB2312"/>
          <w:sz w:val="32"/>
          <w:szCs w:val="32"/>
          <w:lang w:val="en-US" w:eastAsia="zh-CN"/>
        </w:rPr>
        <w:t>市总工会</w:t>
      </w:r>
      <w:r>
        <w:rPr>
          <w:rFonts w:hint="eastAsia" w:eastAsia="仿宋_GB2312" w:cs="仿宋_GB2312"/>
          <w:sz w:val="32"/>
          <w:szCs w:val="32"/>
          <w:lang w:val="zh-CN"/>
        </w:rPr>
        <w:t>常年项目绩效分析。该类项目总数</w:t>
      </w:r>
      <w:r>
        <w:rPr>
          <w:rFonts w:eastAsia="仿宋_GB2312"/>
          <w:sz w:val="32"/>
          <w:szCs w:val="32"/>
          <w:lang w:val="zh-CN"/>
        </w:rPr>
        <w:t>0</w:t>
      </w:r>
      <w:r>
        <w:rPr>
          <w:rFonts w:hint="eastAsia" w:eastAsia="仿宋_GB2312" w:cs="仿宋_GB2312"/>
          <w:sz w:val="32"/>
          <w:szCs w:val="32"/>
          <w:lang w:val="zh-CN"/>
        </w:rPr>
        <w:t>个，涉及预算总金额</w:t>
      </w:r>
      <w:r>
        <w:rPr>
          <w:rFonts w:eastAsia="仿宋_GB2312"/>
          <w:sz w:val="32"/>
          <w:szCs w:val="32"/>
          <w:lang w:val="zh-CN"/>
        </w:rPr>
        <w:t>0</w:t>
      </w:r>
      <w:r>
        <w:rPr>
          <w:rFonts w:hint="eastAsia" w:eastAsia="仿宋_GB2312" w:cs="仿宋_GB2312"/>
          <w:sz w:val="32"/>
          <w:szCs w:val="32"/>
          <w:lang w:val="zh-CN"/>
        </w:rPr>
        <w:t>万元，</w:t>
      </w:r>
      <w:r>
        <w:rPr>
          <w:rFonts w:eastAsia="仿宋_GB2312"/>
          <w:sz w:val="32"/>
          <w:szCs w:val="32"/>
          <w:lang w:val="zh-CN"/>
        </w:rPr>
        <w:t>1—12</w:t>
      </w:r>
      <w:r>
        <w:rPr>
          <w:rFonts w:hint="eastAsia" w:eastAsia="仿宋_GB2312" w:cs="仿宋_GB2312"/>
          <w:sz w:val="32"/>
          <w:szCs w:val="32"/>
          <w:lang w:val="zh-CN"/>
        </w:rPr>
        <w:t>月预算执行总体进度为</w:t>
      </w:r>
      <w:r>
        <w:rPr>
          <w:rFonts w:eastAsia="仿宋_GB2312"/>
          <w:sz w:val="32"/>
          <w:szCs w:val="32"/>
          <w:lang w:val="zh-CN"/>
        </w:rPr>
        <w:t>0%</w:t>
      </w:r>
      <w:r>
        <w:rPr>
          <w:rFonts w:hint="eastAsia" w:eastAsia="仿宋_GB2312" w:cs="仿宋_GB2312"/>
          <w:sz w:val="32"/>
          <w:szCs w:val="32"/>
          <w:lang w:val="zh-CN"/>
        </w:rPr>
        <w:t>，其中：预算结余率大于</w:t>
      </w:r>
      <w:r>
        <w:rPr>
          <w:rFonts w:eastAsia="仿宋_GB2312"/>
          <w:sz w:val="32"/>
          <w:szCs w:val="32"/>
          <w:lang w:val="zh-CN"/>
        </w:rPr>
        <w:t>10%</w:t>
      </w:r>
      <w:r>
        <w:rPr>
          <w:rFonts w:hint="eastAsia" w:eastAsia="仿宋_GB2312" w:cs="仿宋_GB2312"/>
          <w:sz w:val="32"/>
          <w:szCs w:val="32"/>
          <w:lang w:val="zh-CN"/>
        </w:rPr>
        <w:t>的项目共计</w:t>
      </w:r>
      <w:r>
        <w:rPr>
          <w:rFonts w:eastAsia="仿宋_GB2312"/>
          <w:sz w:val="32"/>
          <w:szCs w:val="32"/>
          <w:lang w:val="zh-CN"/>
        </w:rPr>
        <w:t>0</w:t>
      </w:r>
      <w:r>
        <w:rPr>
          <w:rFonts w:hint="eastAsia" w:eastAsia="仿宋_GB2312" w:cs="仿宋_GB2312"/>
          <w:sz w:val="32"/>
          <w:szCs w:val="32"/>
          <w:lang w:val="zh-CN"/>
        </w:rPr>
        <w:t>个。</w:t>
      </w:r>
    </w:p>
    <w:p>
      <w:pPr>
        <w:ind w:firstLine="640" w:firstLineChars="200"/>
        <w:rPr>
          <w:rFonts w:eastAsia="仿宋_GB2312"/>
          <w:sz w:val="32"/>
          <w:szCs w:val="32"/>
          <w:lang w:val="zh-CN"/>
        </w:rPr>
      </w:pPr>
      <w:r>
        <w:rPr>
          <w:rFonts w:hint="eastAsia" w:eastAsia="仿宋_GB2312" w:cs="仿宋_GB2312"/>
          <w:sz w:val="32"/>
          <w:szCs w:val="32"/>
          <w:lang w:val="zh-CN"/>
        </w:rPr>
        <w:t>阶段（一次性）项目绩效分析。该类项目总数</w:t>
      </w:r>
      <w:r>
        <w:rPr>
          <w:rFonts w:eastAsia="仿宋_GB2312"/>
          <w:sz w:val="32"/>
          <w:szCs w:val="32"/>
          <w:lang w:val="zh-CN"/>
        </w:rPr>
        <w:t>0</w:t>
      </w:r>
      <w:r>
        <w:rPr>
          <w:rFonts w:hint="eastAsia" w:eastAsia="仿宋_GB2312" w:cs="仿宋_GB2312"/>
          <w:sz w:val="32"/>
          <w:szCs w:val="32"/>
          <w:lang w:val="zh-CN"/>
        </w:rPr>
        <w:t>个，涉及预算总金额</w:t>
      </w:r>
      <w:r>
        <w:rPr>
          <w:rFonts w:eastAsia="仿宋_GB2312"/>
          <w:sz w:val="32"/>
          <w:szCs w:val="32"/>
          <w:lang w:val="zh-CN"/>
        </w:rPr>
        <w:t>0</w:t>
      </w:r>
      <w:r>
        <w:rPr>
          <w:rFonts w:hint="eastAsia" w:eastAsia="仿宋_GB2312" w:cs="仿宋_GB2312"/>
          <w:sz w:val="32"/>
          <w:szCs w:val="32"/>
          <w:lang w:val="zh-CN"/>
        </w:rPr>
        <w:t>万元，</w:t>
      </w:r>
      <w:r>
        <w:rPr>
          <w:rFonts w:eastAsia="仿宋_GB2312"/>
          <w:sz w:val="32"/>
          <w:szCs w:val="32"/>
          <w:lang w:val="zh-CN"/>
        </w:rPr>
        <w:t>1—12</w:t>
      </w:r>
      <w:r>
        <w:rPr>
          <w:rFonts w:hint="eastAsia" w:eastAsia="仿宋_GB2312" w:cs="仿宋_GB2312"/>
          <w:sz w:val="32"/>
          <w:szCs w:val="32"/>
          <w:lang w:val="zh-CN"/>
        </w:rPr>
        <w:t>月预算执行总体进度为</w:t>
      </w:r>
      <w:r>
        <w:rPr>
          <w:rFonts w:eastAsia="仿宋_GB2312"/>
          <w:sz w:val="32"/>
          <w:szCs w:val="32"/>
          <w:lang w:val="zh-CN"/>
        </w:rPr>
        <w:t>0 %</w:t>
      </w:r>
      <w:r>
        <w:rPr>
          <w:rFonts w:hint="eastAsia" w:eastAsia="仿宋_GB2312" w:cs="仿宋_GB2312"/>
          <w:sz w:val="32"/>
          <w:szCs w:val="32"/>
          <w:lang w:val="zh-CN"/>
        </w:rPr>
        <w:t>，其中：预算结余率大于</w:t>
      </w:r>
      <w:r>
        <w:rPr>
          <w:rFonts w:eastAsia="仿宋_GB2312"/>
          <w:sz w:val="32"/>
          <w:szCs w:val="32"/>
          <w:lang w:val="zh-CN"/>
        </w:rPr>
        <w:t>10%</w:t>
      </w:r>
      <w:r>
        <w:rPr>
          <w:rFonts w:hint="eastAsia" w:eastAsia="仿宋_GB2312" w:cs="仿宋_GB2312"/>
          <w:sz w:val="32"/>
          <w:szCs w:val="32"/>
          <w:lang w:val="zh-CN"/>
        </w:rPr>
        <w:t>的项目共计</w:t>
      </w:r>
      <w:r>
        <w:rPr>
          <w:rFonts w:eastAsia="仿宋_GB2312"/>
          <w:sz w:val="32"/>
          <w:szCs w:val="32"/>
          <w:lang w:val="zh-CN"/>
        </w:rPr>
        <w:t>0</w:t>
      </w:r>
      <w:r>
        <w:rPr>
          <w:rFonts w:hint="eastAsia" w:eastAsia="仿宋_GB2312" w:cs="仿宋_GB2312"/>
          <w:sz w:val="32"/>
          <w:szCs w:val="32"/>
          <w:lang w:val="zh-CN"/>
        </w:rPr>
        <w:t>个。</w:t>
      </w:r>
    </w:p>
    <w:p>
      <w:pPr>
        <w:ind w:firstLine="640" w:firstLineChars="200"/>
        <w:rPr>
          <w:rFonts w:hint="eastAsia" w:eastAsia="仿宋_GB2312" w:cs="仿宋_GB2312"/>
          <w:sz w:val="32"/>
          <w:szCs w:val="32"/>
          <w:lang w:val="zh-CN"/>
        </w:rPr>
      </w:pPr>
      <w:r>
        <w:rPr>
          <w:rFonts w:hint="eastAsia" w:eastAsia="仿宋_GB2312" w:cs="仿宋_GB2312"/>
          <w:sz w:val="32"/>
          <w:szCs w:val="32"/>
          <w:lang w:val="zh-CN"/>
        </w:rPr>
        <w:t>市</w:t>
      </w:r>
      <w:r>
        <w:rPr>
          <w:rFonts w:hint="eastAsia" w:eastAsia="仿宋_GB2312" w:cs="仿宋_GB2312"/>
          <w:sz w:val="32"/>
          <w:szCs w:val="32"/>
          <w:lang w:val="en-US" w:eastAsia="zh-CN"/>
        </w:rPr>
        <w:t>总工会</w:t>
      </w:r>
      <w:r>
        <w:rPr>
          <w:rFonts w:eastAsia="仿宋_GB2312"/>
          <w:sz w:val="32"/>
          <w:szCs w:val="32"/>
          <w:lang w:val="zh-CN"/>
        </w:rPr>
        <w:t>2023</w:t>
      </w:r>
      <w:r>
        <w:rPr>
          <w:rFonts w:hint="eastAsia" w:eastAsia="仿宋_GB2312" w:cs="仿宋_GB2312"/>
          <w:sz w:val="32"/>
          <w:szCs w:val="32"/>
          <w:lang w:val="zh-CN"/>
        </w:rPr>
        <w:t>年度不涉及国有资本经营预算、社会保险基金预算。</w:t>
      </w:r>
    </w:p>
    <w:p>
      <w:pPr>
        <w:numPr>
          <w:ilvl w:val="0"/>
          <w:numId w:val="6"/>
        </w:numPr>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重点领域绩效分析</w:t>
      </w:r>
    </w:p>
    <w:p>
      <w:pPr>
        <w:numPr>
          <w:ilvl w:val="0"/>
          <w:numId w:val="0"/>
        </w:numPr>
        <w:ind w:firstLine="640" w:firstLineChars="200"/>
        <w:rPr>
          <w:rFonts w:hint="default"/>
          <w:lang w:val="zh-CN" w:eastAsia="zh-CN"/>
        </w:rPr>
      </w:pPr>
      <w:r>
        <w:rPr>
          <w:rFonts w:hint="eastAsia" w:eastAsia="仿宋_GB2312" w:cs="仿宋_GB2312"/>
          <w:sz w:val="32"/>
          <w:szCs w:val="32"/>
          <w:lang w:val="zh-CN"/>
        </w:rPr>
        <w:t>市</w:t>
      </w:r>
      <w:r>
        <w:rPr>
          <w:rFonts w:hint="eastAsia" w:eastAsia="仿宋_GB2312" w:cs="仿宋_GB2312"/>
          <w:sz w:val="32"/>
          <w:szCs w:val="32"/>
          <w:lang w:val="en-US" w:eastAsia="zh-CN"/>
        </w:rPr>
        <w:t>总工会</w:t>
      </w:r>
      <w:r>
        <w:rPr>
          <w:rFonts w:eastAsia="仿宋_GB2312"/>
          <w:sz w:val="32"/>
          <w:szCs w:val="32"/>
          <w:lang w:val="zh-CN"/>
        </w:rPr>
        <w:t>2023</w:t>
      </w:r>
      <w:r>
        <w:rPr>
          <w:rFonts w:hint="eastAsia" w:eastAsia="仿宋_GB2312" w:cs="仿宋_GB2312"/>
          <w:sz w:val="32"/>
          <w:szCs w:val="32"/>
          <w:lang w:val="zh-CN"/>
        </w:rPr>
        <w:t>年度不涉及国有资本、行政事业性国有资产、债券资金、政府采购和政府购买服务等重点领域。</w:t>
      </w:r>
    </w:p>
    <w:p>
      <w:pPr>
        <w:keepNext w:val="0"/>
        <w:keepLines w:val="0"/>
        <w:pageBreakBefore w:val="0"/>
        <w:widowControl/>
        <w:numPr>
          <w:ilvl w:val="0"/>
          <w:numId w:val="6"/>
        </w:numPr>
        <w:suppressAutoHyphens/>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绩效结果应用情况</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市总工会按照年初制定的绩效目标，对目标任务完成情况逐条进行考核。经考核，2023年各项工作均完成较好。依据绩效目标自评结果，调整下年度项目绩效目标的设立，以便更科学地对项目进行监督和绩效管理。</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Calibri" w:hAnsi="Calibri" w:eastAsia="黑体" w:cs="Times New Roman"/>
          <w:color w:val="000000"/>
          <w:kern w:val="0"/>
          <w:sz w:val="32"/>
          <w:szCs w:val="32"/>
          <w:highlight w:val="none"/>
          <w:shd w:val="clear" w:color="auto" w:fill="FFFFFF"/>
          <w:lang w:val="zh-CN" w:eastAsia="zh-CN"/>
        </w:rPr>
      </w:pPr>
      <w:r>
        <w:rPr>
          <w:rFonts w:hint="default" w:ascii="Calibri" w:hAnsi="Calibri" w:eastAsia="黑体" w:cs="Times New Roman"/>
          <w:color w:val="000000"/>
          <w:kern w:val="0"/>
          <w:sz w:val="32"/>
          <w:szCs w:val="32"/>
          <w:highlight w:val="none"/>
          <w:shd w:val="clear" w:color="auto" w:fill="FFFFFF"/>
          <w:lang w:val="zh-CN" w:eastAsia="zh-CN"/>
        </w:rPr>
        <w:t>四、评价结论及建议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eastAsia="zh-CN"/>
        </w:rPr>
      </w:pPr>
      <w:r>
        <w:rPr>
          <w:rFonts w:hint="eastAsia" w:ascii="仿宋" w:hAnsi="仿宋" w:eastAsia="仿宋" w:cs="仿宋"/>
          <w:b/>
          <w:bCs/>
          <w:color w:val="000000"/>
          <w:kern w:val="0"/>
          <w:sz w:val="32"/>
          <w:szCs w:val="32"/>
          <w:highlight w:val="none"/>
          <w:shd w:val="clear" w:color="auto" w:fill="FFFFFF"/>
          <w:lang w:val="zh-CN" w:eastAsia="zh-CN"/>
        </w:rPr>
        <w:t>（一）评价结论</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总体看，市总工会目标任务较明确，预算编制较准确，部门综合管理较规范，部门整体绩效良好。部门整体支出绩效评价得分为99分。</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eastAsia="zh-CN"/>
        </w:rPr>
      </w:pPr>
      <w:r>
        <w:rPr>
          <w:rFonts w:hint="eastAsia" w:ascii="仿宋" w:hAnsi="仿宋" w:eastAsia="仿宋" w:cs="仿宋"/>
          <w:b/>
          <w:bCs/>
          <w:color w:val="000000"/>
          <w:kern w:val="0"/>
          <w:sz w:val="32"/>
          <w:szCs w:val="32"/>
          <w:highlight w:val="none"/>
          <w:shd w:val="clear" w:color="auto" w:fill="FFFFFF"/>
          <w:lang w:val="zh-CN" w:eastAsia="zh-CN"/>
        </w:rPr>
        <w:t>（二）存在问题</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1.预算编制准确性有待提高。部分项目预算编制前瞻性不足，如因省市政策变化，导致部分项目未实现支出或实际支出执行有偏差。</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2.绩效工作力量较薄弱。绩效评价工作对专业性要求很高，相关人员绩效管理专业知识不足。</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eastAsia="zh-CN"/>
        </w:rPr>
      </w:pPr>
      <w:r>
        <w:rPr>
          <w:rFonts w:hint="eastAsia" w:ascii="仿宋" w:hAnsi="仿宋" w:eastAsia="仿宋" w:cs="仿宋"/>
          <w:b/>
          <w:bCs/>
          <w:color w:val="000000"/>
          <w:kern w:val="0"/>
          <w:sz w:val="32"/>
          <w:szCs w:val="32"/>
          <w:highlight w:val="none"/>
          <w:shd w:val="clear" w:color="auto" w:fill="FFFFFF"/>
          <w:lang w:val="zh-CN" w:eastAsia="zh-CN"/>
        </w:rPr>
        <w:t>（三）改进建议</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1.细化预算编制工作，认真做好预算的编制。进一步加强单位内部机构业务负责人员的预算管理意识，严格按照《预算法》要求进行预算编制。</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2.健全绩效体系，提高管理水平。按照全面实施预算管理的总体要求，结合行业部门特点，建立健全绩效目标指标设置、绩效监控、绩效评价、结果应用全过程的绩效管理实施办法。</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eastAsia="zh-CN"/>
        </w:rPr>
        <w:t>3.加强绩效管理业务培训。建议加强对绩效管理人员进行专业业务培训，提高预算绩效目标编制质量，切实提高预算收支管理水平，提升单位财务人员业务水平，适应工作需要</w:t>
      </w:r>
      <w:r>
        <w:rPr>
          <w:rFonts w:hint="default" w:ascii="Times New Roman" w:hAnsi="Times New Roman" w:eastAsia="仿宋_GB2312" w:cs="Times New Roman"/>
          <w:color w:val="auto"/>
          <w:sz w:val="32"/>
          <w:szCs w:val="32"/>
          <w:lang w:val="en-US" w:eastAsia="zh-CN"/>
        </w:rPr>
        <w:t>。</w:t>
      </w:r>
    </w:p>
    <w:p>
      <w:pPr>
        <w:pStyle w:val="2"/>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rPr>
          <w:rFonts w:hint="default"/>
          <w:lang w:val="en-US" w:eastAsia="zh-CN"/>
        </w:rPr>
      </w:pPr>
    </w:p>
    <w:p>
      <w:pPr>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2"/>
        <w:rPr>
          <w:rFonts w:hint="default"/>
          <w:lang w:val="en-US" w:eastAsia="zh-CN"/>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ascii="Times New Roman" w:hAnsi="Times New Roman" w:eastAsia="方正小标宋简体" w:cs="Times New Roman"/>
          <w:b w:val="0"/>
          <w:bCs/>
          <w:sz w:val="44"/>
          <w:szCs w:val="44"/>
          <w:highlight w:val="none"/>
          <w:shd w:val="clear" w:color="auto" w:fill="FFFFFF"/>
          <w:lang w:eastAsia="zh-CN"/>
        </w:rPr>
      </w:pPr>
      <w:r>
        <w:rPr>
          <w:rFonts w:hint="eastAsia" w:eastAsia="方正小标宋简体" w:cs="Times New Roman"/>
          <w:b w:val="0"/>
          <w:bCs/>
          <w:sz w:val="44"/>
          <w:szCs w:val="44"/>
          <w:highlight w:val="none"/>
          <w:shd w:val="clear" w:color="auto" w:fill="FFFFFF"/>
          <w:lang w:val="en-US" w:eastAsia="zh-CN"/>
        </w:rPr>
        <w:t>专项预算项目绩效评价报告</w:t>
      </w:r>
    </w:p>
    <w:p>
      <w:pPr>
        <w:pStyle w:val="36"/>
        <w:spacing w:line="600" w:lineRule="exact"/>
        <w:ind w:firstLine="2160" w:firstLineChars="675"/>
        <w:jc w:val="both"/>
        <w:rPr>
          <w:rFonts w:ascii="Times New Roman" w:hAnsi="Times New Roman"/>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val="en-US" w:eastAsia="zh-CN"/>
        </w:rPr>
        <w:t>省级工会专项资金</w:t>
      </w:r>
      <w:r>
        <w:rPr>
          <w:rFonts w:ascii="Times New Roman" w:hAnsi="Times New Roman" w:eastAsia="仿宋_GB2312"/>
          <w:color w:val="auto"/>
          <w:kern w:val="2"/>
          <w:sz w:val="32"/>
          <w:szCs w:val="32"/>
        </w:rPr>
        <w:t>）</w:t>
      </w:r>
    </w:p>
    <w:p>
      <w:pPr>
        <w:adjustRightInd w:val="0"/>
        <w:snapToGrid w:val="0"/>
        <w:spacing w:line="600" w:lineRule="exact"/>
        <w:ind w:firstLine="720"/>
        <w:rPr>
          <w:rFonts w:eastAsia="黑体"/>
          <w:color w:val="auto"/>
          <w:sz w:val="32"/>
          <w:szCs w:val="32"/>
          <w:lang w:val="zh-CN"/>
        </w:rPr>
      </w:pPr>
      <w:r>
        <w:rPr>
          <w:rFonts w:eastAsia="黑体"/>
          <w:color w:val="auto"/>
          <w:sz w:val="32"/>
          <w:szCs w:val="32"/>
        </w:rPr>
        <w:t>一、</w:t>
      </w:r>
      <w:r>
        <w:rPr>
          <w:rFonts w:eastAsia="黑体"/>
          <w:color w:val="auto"/>
          <w:sz w:val="32"/>
          <w:szCs w:val="32"/>
          <w:lang w:val="zh-CN"/>
        </w:rPr>
        <w:t>项目概况</w:t>
      </w:r>
    </w:p>
    <w:p>
      <w:pPr>
        <w:adjustRightInd w:val="0"/>
        <w:snapToGrid w:val="0"/>
        <w:spacing w:line="600" w:lineRule="exact"/>
        <w:ind w:firstLine="720"/>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（一）项目基本情况</w:t>
      </w:r>
    </w:p>
    <w:p>
      <w:pPr>
        <w:adjustRightInd w:val="0"/>
        <w:snapToGrid w:val="0"/>
        <w:spacing w:line="60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2023年省级工会专项资金收、支均为470.31万元，资金构成全部为财政拨款收入。该项资金使用、分配均严格按照省财政资金相关使用标准执行。</w:t>
      </w:r>
    </w:p>
    <w:p>
      <w:pPr>
        <w:adjustRightInd w:val="0"/>
        <w:snapToGrid w:val="0"/>
        <w:spacing w:line="600" w:lineRule="exact"/>
        <w:ind w:firstLine="720"/>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（二）项目绩效目标</w:t>
      </w:r>
    </w:p>
    <w:p>
      <w:pPr>
        <w:adjustRightInd w:val="0"/>
        <w:snapToGrid w:val="0"/>
        <w:spacing w:line="600" w:lineRule="exact"/>
        <w:ind w:firstLine="720"/>
        <w:rPr>
          <w:color w:val="auto"/>
          <w:lang w:val="zh-CN"/>
        </w:rPr>
      </w:pPr>
      <w:r>
        <w:rPr>
          <w:rFonts w:hint="eastAsia" w:ascii="仿宋" w:hAnsi="仿宋" w:eastAsia="仿宋" w:cs="仿宋"/>
          <w:b w:val="0"/>
          <w:bCs w:val="0"/>
          <w:color w:val="auto"/>
          <w:sz w:val="32"/>
          <w:szCs w:val="32"/>
          <w:lang w:val="en-US" w:eastAsia="zh-CN" w:bidi="ar-SA"/>
        </w:rPr>
        <w:t>该项目资金</w:t>
      </w:r>
      <w:r>
        <w:rPr>
          <w:rFonts w:hint="eastAsia" w:ascii="仿宋" w:hAnsi="仿宋" w:eastAsia="仿宋" w:cs="仿宋"/>
          <w:b w:val="0"/>
          <w:bCs w:val="0"/>
          <w:color w:val="auto"/>
          <w:sz w:val="32"/>
          <w:szCs w:val="32"/>
          <w:lang w:val="zh-CN" w:eastAsia="zh-CN" w:bidi="ar-SA"/>
        </w:rPr>
        <w:t>按规定用于全省困难职工帮扶救助以及全省困难职工、农民工、疫情防控等一线职工、劳模工匠、下派挂职干部职工等群体元旦春节送温暖慰问；帮扶救助（不含送温暖）困难职工；全省省部级劳模春节慰问、体检、困难补助和特殊困难帮扶；对职工职业技能提升项目进行补助。</w:t>
      </w:r>
      <w:r>
        <w:rPr>
          <w:rFonts w:hint="eastAsia" w:ascii="仿宋" w:hAnsi="仿宋" w:eastAsia="仿宋" w:cs="仿宋"/>
          <w:b w:val="0"/>
          <w:bCs w:val="0"/>
          <w:color w:val="auto"/>
          <w:sz w:val="32"/>
          <w:szCs w:val="32"/>
          <w:lang w:val="en-US" w:eastAsia="zh-CN" w:bidi="ar-SA"/>
        </w:rPr>
        <w:t xml:space="preserve">  </w:t>
      </w:r>
    </w:p>
    <w:p>
      <w:pPr>
        <w:adjustRightInd w:val="0"/>
        <w:snapToGrid w:val="0"/>
        <w:spacing w:line="600" w:lineRule="exact"/>
        <w:ind w:firstLine="72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二、项目资金申报及使用情况</w:t>
      </w:r>
    </w:p>
    <w:p>
      <w:pPr>
        <w:adjustRightInd w:val="0"/>
        <w:snapToGrid w:val="0"/>
        <w:spacing w:line="600" w:lineRule="exact"/>
        <w:ind w:firstLine="720"/>
        <w:rPr>
          <w:rFonts w:hint="eastAsia" w:ascii="仿宋" w:hAnsi="仿宋" w:eastAsia="仿宋" w:cs="仿宋"/>
          <w:b w:val="0"/>
          <w:bCs/>
          <w:color w:val="auto"/>
          <w:sz w:val="32"/>
          <w:szCs w:val="32"/>
          <w:lang w:val="en-US" w:eastAsia="zh-CN"/>
        </w:rPr>
      </w:pPr>
      <w:r>
        <w:rPr>
          <w:rFonts w:hint="eastAsia" w:ascii="仿宋" w:hAnsi="仿宋" w:eastAsia="仿宋" w:cs="仿宋"/>
          <w:b/>
          <w:color w:val="auto"/>
          <w:sz w:val="32"/>
          <w:szCs w:val="32"/>
          <w:lang w:val="zh-CN"/>
        </w:rPr>
        <w:t>（一）项目资金申报及批复情况</w:t>
      </w:r>
      <w:r>
        <w:rPr>
          <w:rFonts w:hint="eastAsia" w:ascii="仿宋" w:hAnsi="仿宋" w:eastAsia="仿宋" w:cs="仿宋"/>
          <w:b w:val="0"/>
          <w:bCs/>
          <w:color w:val="auto"/>
          <w:sz w:val="32"/>
          <w:szCs w:val="32"/>
          <w:lang w:val="en-US" w:eastAsia="zh-CN"/>
        </w:rPr>
        <w:t xml:space="preserve"> </w:t>
      </w:r>
    </w:p>
    <w:p>
      <w:pPr>
        <w:adjustRightInd w:val="0"/>
        <w:snapToGrid w:val="0"/>
        <w:spacing w:line="600" w:lineRule="exact"/>
        <w:ind w:firstLine="960" w:firstLineChars="300"/>
        <w:rPr>
          <w:rFonts w:hint="eastAsia" w:ascii="仿宋" w:hAnsi="仿宋" w:eastAsia="仿宋" w:cs="仿宋"/>
          <w:b/>
          <w:color w:val="auto"/>
          <w:sz w:val="32"/>
          <w:szCs w:val="32"/>
          <w:lang w:val="zh-CN"/>
        </w:rPr>
      </w:pPr>
      <w:r>
        <w:rPr>
          <w:rFonts w:hint="eastAsia" w:ascii="仿宋" w:hAnsi="仿宋" w:eastAsia="仿宋" w:cs="仿宋"/>
          <w:b w:val="0"/>
          <w:bCs/>
          <w:color w:val="auto"/>
          <w:sz w:val="32"/>
          <w:szCs w:val="32"/>
          <w:lang w:val="en-US" w:eastAsia="zh-CN"/>
        </w:rPr>
        <w:t>该项目严格按照建档困难职工人数、劳模人数及规定标准进行申报，经省总批准后下达专项资金</w:t>
      </w:r>
      <w:r>
        <w:rPr>
          <w:rFonts w:hint="eastAsia" w:ascii="仿宋" w:hAnsi="仿宋" w:eastAsia="仿宋" w:cs="仿宋"/>
          <w:b w:val="0"/>
          <w:bCs/>
          <w:color w:val="auto"/>
          <w:sz w:val="32"/>
          <w:szCs w:val="32"/>
          <w:lang w:val="zh-CN"/>
        </w:rPr>
        <w:t>。</w:t>
      </w:r>
    </w:p>
    <w:p>
      <w:pPr>
        <w:adjustRightInd w:val="0"/>
        <w:snapToGrid w:val="0"/>
        <w:spacing w:line="600" w:lineRule="exact"/>
        <w:ind w:firstLine="720"/>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（二）资金计划、到位及使用情况</w:t>
      </w:r>
    </w:p>
    <w:p>
      <w:pPr>
        <w:adjustRightInd w:val="0"/>
        <w:snapToGrid w:val="0"/>
        <w:spacing w:line="600" w:lineRule="exact"/>
        <w:ind w:firstLine="960" w:firstLineChars="300"/>
        <w:rPr>
          <w:rFonts w:hint="eastAsia" w:ascii="仿宋" w:hAnsi="仿宋" w:eastAsia="仿宋" w:cs="仿宋"/>
          <w:b w:val="0"/>
          <w:bCs/>
          <w:color w:val="auto"/>
          <w:sz w:val="32"/>
          <w:szCs w:val="32"/>
          <w:lang w:val="zh-CN" w:eastAsia="zh-CN"/>
        </w:rPr>
      </w:pPr>
      <w:r>
        <w:rPr>
          <w:rFonts w:hint="eastAsia" w:ascii="仿宋" w:hAnsi="仿宋" w:eastAsia="仿宋" w:cs="仿宋"/>
          <w:b w:val="0"/>
          <w:bCs/>
          <w:color w:val="auto"/>
          <w:sz w:val="32"/>
          <w:szCs w:val="32"/>
          <w:lang w:val="en-US" w:eastAsia="zh-CN"/>
        </w:rPr>
        <w:t>2023年省级工会专项资金计划470.31万元，实际到位470.31万元，资金</w:t>
      </w:r>
      <w:r>
        <w:rPr>
          <w:rFonts w:hint="eastAsia" w:ascii="仿宋" w:hAnsi="仿宋" w:eastAsia="仿宋" w:cs="仿宋"/>
          <w:b w:val="0"/>
          <w:bCs/>
          <w:color w:val="auto"/>
          <w:sz w:val="32"/>
          <w:szCs w:val="32"/>
          <w:lang w:val="zh-CN" w:eastAsia="zh-CN"/>
        </w:rPr>
        <w:t>及时到位，</w:t>
      </w:r>
      <w:r>
        <w:rPr>
          <w:rFonts w:hint="eastAsia" w:ascii="仿宋" w:hAnsi="仿宋" w:eastAsia="仿宋" w:cs="仿宋"/>
          <w:b w:val="0"/>
          <w:bCs/>
          <w:color w:val="auto"/>
          <w:sz w:val="32"/>
          <w:szCs w:val="32"/>
          <w:lang w:val="en-US" w:eastAsia="zh-CN"/>
        </w:rPr>
        <w:t>资金</w:t>
      </w:r>
      <w:r>
        <w:rPr>
          <w:rFonts w:hint="eastAsia" w:ascii="仿宋" w:hAnsi="仿宋" w:eastAsia="仿宋" w:cs="仿宋"/>
          <w:b w:val="0"/>
          <w:bCs/>
          <w:color w:val="auto"/>
          <w:sz w:val="32"/>
          <w:szCs w:val="32"/>
          <w:lang w:val="zh-CN" w:eastAsia="zh-CN"/>
        </w:rPr>
        <w:t>发放范围、标准均按相关要求及时发放。</w:t>
      </w:r>
    </w:p>
    <w:p>
      <w:pPr>
        <w:adjustRightInd w:val="0"/>
        <w:snapToGrid w:val="0"/>
        <w:spacing w:line="600" w:lineRule="exact"/>
        <w:ind w:firstLine="720"/>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（三）项目财务管理情况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color w:val="auto"/>
          <w:lang w:val="zh-CN"/>
        </w:rPr>
      </w:pPr>
      <w:r>
        <w:rPr>
          <w:rFonts w:hint="eastAsia" w:ascii="仿宋" w:hAnsi="仿宋" w:eastAsia="仿宋" w:cs="仿宋"/>
          <w:color w:val="auto"/>
          <w:sz w:val="32"/>
          <w:szCs w:val="32"/>
          <w:u w:val="none"/>
          <w:lang w:val="en-US" w:eastAsia="zh-CN" w:bidi="ar-SA"/>
        </w:rPr>
        <w:t>该</w:t>
      </w:r>
      <w:r>
        <w:rPr>
          <w:rFonts w:hint="eastAsia" w:ascii="仿宋" w:hAnsi="仿宋" w:eastAsia="仿宋" w:cs="仿宋"/>
          <w:b w:val="0"/>
          <w:bCs w:val="0"/>
          <w:color w:val="auto"/>
          <w:sz w:val="32"/>
          <w:szCs w:val="32"/>
          <w:lang w:val="zh-CN" w:eastAsia="zh-CN" w:bidi="ar-SA"/>
        </w:rPr>
        <w:t>项目严格执行财务管理制度，财务处理及时，会计核算规范。</w:t>
      </w:r>
    </w:p>
    <w:p>
      <w:pPr>
        <w:adjustRightInd w:val="0"/>
        <w:snapToGrid w:val="0"/>
        <w:spacing w:line="600" w:lineRule="exact"/>
        <w:ind w:firstLine="72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三、项目实施及管理情况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auto"/>
          <w:sz w:val="32"/>
          <w:szCs w:val="32"/>
          <w:u w:val="none"/>
          <w:lang w:val="en-US" w:eastAsia="zh-CN" w:bidi="ar-SA"/>
        </w:rPr>
      </w:pPr>
      <w:r>
        <w:rPr>
          <w:rFonts w:hint="eastAsia" w:ascii="仿宋" w:hAnsi="仿宋" w:eastAsia="仿宋" w:cs="仿宋"/>
          <w:color w:val="auto"/>
          <w:sz w:val="32"/>
          <w:szCs w:val="32"/>
          <w:u w:val="none"/>
          <w:lang w:val="en-US" w:eastAsia="zh-CN" w:bidi="ar-SA"/>
        </w:rPr>
        <w:t>一是资金由市、县（区）两级工会财务统一管理，在财务账务处理中设专门科目和使用明细，严格按照省财政资金管理办法和财务制度进行管理，并由经审部门负责监督。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auto"/>
          <w:sz w:val="32"/>
          <w:szCs w:val="32"/>
          <w:u w:val="none"/>
          <w:lang w:val="en-US" w:eastAsia="zh-CN" w:bidi="ar-SA"/>
        </w:rPr>
      </w:pPr>
      <w:r>
        <w:rPr>
          <w:rFonts w:hint="eastAsia" w:ascii="仿宋" w:hAnsi="仿宋" w:eastAsia="仿宋" w:cs="仿宋"/>
          <w:color w:val="auto"/>
          <w:sz w:val="32"/>
          <w:szCs w:val="32"/>
          <w:u w:val="none"/>
          <w:lang w:val="en-US" w:eastAsia="zh-CN" w:bidi="ar-SA"/>
        </w:rPr>
        <w:t>二是由市总工会保障按照需求制定分配使用方案，方案中明确发放对象，发放标准和救助人数，并报经市总工会主席办公会研究讨论通过后，以正式文件形式下发后，由各级工会严格按照文件人数、标准使用。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auto"/>
          <w:sz w:val="32"/>
          <w:szCs w:val="32"/>
          <w:u w:val="none"/>
          <w:lang w:val="en-US" w:eastAsia="zh-CN" w:bidi="ar-SA"/>
        </w:rPr>
      </w:pPr>
      <w:r>
        <w:rPr>
          <w:rFonts w:hint="eastAsia" w:ascii="仿宋" w:hAnsi="仿宋" w:eastAsia="仿宋" w:cs="仿宋"/>
          <w:color w:val="auto"/>
          <w:sz w:val="32"/>
          <w:szCs w:val="32"/>
          <w:u w:val="none"/>
          <w:lang w:val="en-US" w:eastAsia="zh-CN" w:bidi="ar-SA"/>
        </w:rPr>
        <w:t>三是按照省财下发的资金分配文件中的要求严格分配使用。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auto"/>
          <w:sz w:val="32"/>
          <w:szCs w:val="32"/>
          <w:u w:val="none"/>
          <w:lang w:val="en-US" w:eastAsia="zh-CN" w:bidi="ar-SA"/>
        </w:rPr>
      </w:pPr>
      <w:r>
        <w:rPr>
          <w:rFonts w:hint="eastAsia" w:ascii="仿宋" w:hAnsi="仿宋" w:eastAsia="仿宋" w:cs="仿宋"/>
          <w:color w:val="auto"/>
          <w:sz w:val="32"/>
          <w:szCs w:val="32"/>
          <w:u w:val="none"/>
          <w:lang w:val="en-US" w:eastAsia="zh-CN" w:bidi="ar-SA"/>
        </w:rPr>
        <w:t>四是对所有救助资金严格执行银行卡发放。</w:t>
      </w:r>
    </w:p>
    <w:p>
      <w:pPr>
        <w:adjustRightInd w:val="0"/>
        <w:snapToGrid w:val="0"/>
        <w:spacing w:line="600" w:lineRule="exact"/>
        <w:ind w:firstLine="720"/>
        <w:rPr>
          <w:rFonts w:ascii="Times New Roman" w:hAnsi="Times New Roman" w:eastAsia="黑体" w:cs="Times New Roman"/>
          <w:color w:val="auto"/>
          <w:sz w:val="32"/>
          <w:szCs w:val="32"/>
          <w:lang w:val="zh-CN"/>
        </w:rPr>
      </w:pPr>
      <w:r>
        <w:rPr>
          <w:rFonts w:ascii="Times New Roman" w:hAnsi="Times New Roman" w:eastAsia="黑体" w:cs="Times New Roman"/>
          <w:color w:val="auto"/>
          <w:sz w:val="32"/>
          <w:szCs w:val="32"/>
        </w:rPr>
        <w:t>四、项目绩效情况</w:t>
      </w:r>
      <w:r>
        <w:rPr>
          <w:rFonts w:ascii="Times New Roman" w:hAnsi="Times New Roman" w:eastAsia="黑体" w:cs="Times New Roman"/>
          <w:color w:val="auto"/>
          <w:sz w:val="32"/>
          <w:szCs w:val="32"/>
          <w:lang w:val="zh-CN"/>
        </w:rPr>
        <w:tab/>
      </w:r>
    </w:p>
    <w:p>
      <w:pPr>
        <w:adjustRightInd w:val="0"/>
        <w:snapToGrid w:val="0"/>
        <w:spacing w:line="600" w:lineRule="exact"/>
        <w:ind w:firstLine="720"/>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auto"/>
          <w:sz w:val="32"/>
          <w:szCs w:val="32"/>
          <w:u w:val="none"/>
          <w:lang w:val="zh-CN" w:eastAsia="zh-CN" w:bidi="ar-SA"/>
        </w:rPr>
      </w:pPr>
      <w:r>
        <w:rPr>
          <w:rFonts w:hint="eastAsia" w:ascii="仿宋" w:hAnsi="仿宋" w:eastAsia="仿宋" w:cs="仿宋"/>
          <w:color w:val="auto"/>
          <w:sz w:val="32"/>
          <w:szCs w:val="32"/>
          <w:u w:val="none"/>
          <w:lang w:val="en-US" w:eastAsia="zh-CN" w:bidi="ar-SA"/>
        </w:rPr>
        <w:t>该项目已</w:t>
      </w:r>
      <w:r>
        <w:rPr>
          <w:rFonts w:hint="eastAsia" w:ascii="仿宋" w:hAnsi="仿宋" w:eastAsia="仿宋" w:cs="仿宋"/>
          <w:color w:val="auto"/>
          <w:sz w:val="32"/>
          <w:szCs w:val="32"/>
          <w:u w:val="none"/>
          <w:lang w:val="zh-CN" w:eastAsia="zh-CN" w:bidi="ar-SA"/>
        </w:rPr>
        <w:t>按相关要求按时按质完成。</w:t>
      </w:r>
    </w:p>
    <w:p>
      <w:pPr>
        <w:adjustRightInd w:val="0"/>
        <w:snapToGrid w:val="0"/>
        <w:spacing w:line="600" w:lineRule="exact"/>
        <w:ind w:firstLine="720"/>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（二）项目效益情况</w:t>
      </w:r>
    </w:p>
    <w:p>
      <w:pPr>
        <w:adjustRightInd w:val="0"/>
        <w:snapToGrid w:val="0"/>
        <w:spacing w:line="600" w:lineRule="exact"/>
        <w:rPr>
          <w:color w:val="auto"/>
          <w:lang w:val="zh-CN"/>
        </w:rPr>
      </w:pPr>
      <w:r>
        <w:rPr>
          <w:rFonts w:hint="eastAsia" w:ascii="仿宋" w:hAnsi="仿宋" w:eastAsia="仿宋" w:cs="仿宋"/>
          <w:b w:val="0"/>
          <w:bCs w:val="0"/>
          <w:color w:val="auto"/>
          <w:sz w:val="32"/>
          <w:szCs w:val="32"/>
          <w:lang w:val="en-US" w:eastAsia="zh-CN" w:bidi="ar-SA"/>
        </w:rPr>
        <w:t xml:space="preserve">    该项目执行有效缓解了困难职工家庭的生活状况、就医经济压力、子女助学压力；有利于劳模以更好的身心投入工作，创造更大的经济效益；切实提升了职工生活品质，将</w:t>
      </w:r>
      <w:r>
        <w:rPr>
          <w:rFonts w:hint="eastAsia" w:ascii="仿宋" w:hAnsi="仿宋" w:eastAsia="仿宋" w:cs="仿宋"/>
          <w:b w:val="0"/>
          <w:bCs w:val="0"/>
          <w:color w:val="auto"/>
          <w:sz w:val="32"/>
          <w:szCs w:val="32"/>
          <w:lang w:val="zh-CN" w:eastAsia="zh-CN" w:bidi="ar-SA"/>
        </w:rPr>
        <w:t>党</w:t>
      </w:r>
      <w:r>
        <w:rPr>
          <w:rFonts w:hint="eastAsia" w:ascii="仿宋" w:hAnsi="仿宋" w:eastAsia="仿宋" w:cs="仿宋"/>
          <w:b w:val="0"/>
          <w:bCs w:val="0"/>
          <w:color w:val="auto"/>
          <w:sz w:val="32"/>
          <w:szCs w:val="32"/>
          <w:lang w:val="en-US" w:eastAsia="zh-CN" w:bidi="ar-SA"/>
        </w:rPr>
        <w:t>和</w:t>
      </w:r>
      <w:r>
        <w:rPr>
          <w:rFonts w:hint="eastAsia" w:ascii="仿宋" w:hAnsi="仿宋" w:eastAsia="仿宋" w:cs="仿宋"/>
          <w:b w:val="0"/>
          <w:bCs w:val="0"/>
          <w:color w:val="auto"/>
          <w:sz w:val="32"/>
          <w:szCs w:val="32"/>
          <w:lang w:val="zh-CN" w:eastAsia="zh-CN" w:bidi="ar-SA"/>
        </w:rPr>
        <w:t>政府的</w:t>
      </w:r>
      <w:r>
        <w:rPr>
          <w:rFonts w:hint="eastAsia" w:ascii="仿宋" w:hAnsi="仿宋" w:eastAsia="仿宋" w:cs="仿宋"/>
          <w:b w:val="0"/>
          <w:bCs w:val="0"/>
          <w:color w:val="auto"/>
          <w:sz w:val="32"/>
          <w:szCs w:val="32"/>
          <w:lang w:val="en-US" w:eastAsia="zh-CN" w:bidi="ar-SA"/>
        </w:rPr>
        <w:t>温暖关怀</w:t>
      </w:r>
      <w:r>
        <w:rPr>
          <w:rFonts w:hint="eastAsia" w:ascii="仿宋" w:hAnsi="仿宋" w:eastAsia="仿宋" w:cs="仿宋"/>
          <w:b w:val="0"/>
          <w:bCs w:val="0"/>
          <w:color w:val="auto"/>
          <w:sz w:val="32"/>
          <w:szCs w:val="32"/>
          <w:lang w:val="zh-CN" w:eastAsia="zh-CN" w:bidi="ar-SA"/>
        </w:rPr>
        <w:t>送到了职工心坎</w:t>
      </w:r>
      <w:r>
        <w:rPr>
          <w:rFonts w:hint="eastAsia" w:ascii="仿宋" w:hAnsi="仿宋" w:eastAsia="仿宋" w:cs="仿宋"/>
          <w:b w:val="0"/>
          <w:bCs w:val="0"/>
          <w:color w:val="auto"/>
          <w:sz w:val="32"/>
          <w:szCs w:val="32"/>
          <w:lang w:val="en-US" w:eastAsia="zh-CN" w:bidi="ar-SA"/>
        </w:rPr>
        <w:t>上</w:t>
      </w:r>
      <w:r>
        <w:rPr>
          <w:rFonts w:hint="eastAsia" w:ascii="仿宋" w:hAnsi="仿宋" w:eastAsia="仿宋" w:cs="仿宋"/>
          <w:b w:val="0"/>
          <w:bCs w:val="0"/>
          <w:color w:val="auto"/>
          <w:sz w:val="32"/>
          <w:szCs w:val="32"/>
          <w:lang w:val="zh-CN" w:eastAsia="zh-CN" w:bidi="ar-SA"/>
        </w:rPr>
        <w:t>。</w:t>
      </w:r>
    </w:p>
    <w:p>
      <w:pPr>
        <w:ind w:firstLine="640" w:firstLineChars="200"/>
        <w:rPr>
          <w:rFonts w:hint="eastAsia" w:ascii="Times New Roman" w:hAnsi="Times New Roman" w:eastAsia="仿宋_GB2312" w:cs="仿宋_GB2312"/>
          <w:sz w:val="32"/>
          <w:szCs w:val="32"/>
          <w:lang w:val="zh-CN" w:eastAsia="zh-CN"/>
        </w:rPr>
      </w:pP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zh-CN" w:eastAsia="zh-CN"/>
        </w:rPr>
        <w:t>附表：</w:t>
      </w:r>
      <w:r>
        <w:rPr>
          <w:rFonts w:hint="eastAsia" w:ascii="Times New Roman" w:hAnsi="Times New Roman" w:eastAsia="仿宋_GB2312" w:cs="仿宋_GB2312"/>
          <w:sz w:val="32"/>
          <w:szCs w:val="32"/>
          <w:lang w:val="en-US" w:eastAsia="zh-CN"/>
        </w:rPr>
        <w:t>攀枝花市总工会部门预算项目支出绩效自评表（2023年度）见附件3</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Style w:val="30"/>
          <w:rFonts w:hint="eastAsia" w:ascii="黑体" w:hAnsi="黑体" w:eastAsia="黑体"/>
          <w:b w:val="0"/>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Style w:val="30"/>
          <w:rFonts w:hint="eastAsia" w:ascii="黑体" w:hAnsi="黑体" w:eastAsia="黑体"/>
          <w:b w:val="0"/>
        </w:rPr>
      </w:pPr>
    </w:p>
    <w:p>
      <w:pPr>
        <w:spacing w:line="600" w:lineRule="exact"/>
        <w:ind w:firstLine="2200" w:firstLineChars="500"/>
        <w:jc w:val="both"/>
        <w:outlineLvl w:val="0"/>
        <w:rPr>
          <w:rFonts w:hint="eastAsia" w:ascii="黑体" w:hAnsi="黑体" w:eastAsia="黑体"/>
          <w:sz w:val="44"/>
          <w:szCs w:val="44"/>
        </w:rPr>
      </w:pPr>
      <w:bookmarkStart w:id="41" w:name="_Toc15396618"/>
    </w:p>
    <w:p>
      <w:pPr>
        <w:spacing w:line="600" w:lineRule="exact"/>
        <w:ind w:firstLine="2200" w:firstLineChars="500"/>
        <w:jc w:val="both"/>
        <w:outlineLvl w:val="0"/>
        <w:rPr>
          <w:rFonts w:hint="eastAsia" w:ascii="黑体" w:hAnsi="黑体" w:eastAsia="黑体"/>
          <w:sz w:val="44"/>
          <w:szCs w:val="44"/>
        </w:rPr>
      </w:pPr>
    </w:p>
    <w:p>
      <w:pPr>
        <w:spacing w:line="600" w:lineRule="exact"/>
        <w:ind w:firstLine="2200" w:firstLineChars="500"/>
        <w:jc w:val="both"/>
        <w:outlineLvl w:val="0"/>
        <w:rPr>
          <w:rFonts w:hint="eastAsia" w:ascii="黑体" w:hAnsi="黑体" w:eastAsia="黑体"/>
          <w:sz w:val="44"/>
          <w:szCs w:val="44"/>
        </w:rPr>
      </w:pPr>
    </w:p>
    <w:p>
      <w:pPr>
        <w:spacing w:line="600" w:lineRule="exact"/>
        <w:ind w:firstLine="2200" w:firstLineChars="500"/>
        <w:jc w:val="both"/>
        <w:outlineLvl w:val="0"/>
        <w:rPr>
          <w:rFonts w:hint="eastAsia" w:ascii="黑体" w:hAnsi="黑体" w:eastAsia="黑体"/>
          <w:sz w:val="44"/>
          <w:szCs w:val="44"/>
        </w:rPr>
      </w:pPr>
    </w:p>
    <w:p>
      <w:pPr>
        <w:spacing w:line="600" w:lineRule="exact"/>
        <w:ind w:firstLine="2200" w:firstLineChars="500"/>
        <w:jc w:val="both"/>
        <w:outlineLvl w:val="0"/>
        <w:rPr>
          <w:rFonts w:hint="eastAsia" w:ascii="黑体" w:hAnsi="黑体" w:eastAsia="黑体"/>
          <w:sz w:val="44"/>
          <w:szCs w:val="44"/>
        </w:rPr>
      </w:pPr>
    </w:p>
    <w:p>
      <w:pPr>
        <w:pStyle w:val="3"/>
        <w:rPr>
          <w:rFonts w:hint="eastAsia" w:ascii="黑体" w:hAnsi="黑体" w:eastAsia="黑体"/>
          <w:sz w:val="44"/>
          <w:szCs w:val="44"/>
        </w:rPr>
      </w:pPr>
    </w:p>
    <w:p>
      <w:pPr>
        <w:rPr>
          <w:rFonts w:hint="eastAsia" w:ascii="黑体" w:hAnsi="黑体" w:eastAsia="黑体"/>
          <w:sz w:val="44"/>
          <w:szCs w:val="44"/>
        </w:rPr>
      </w:pPr>
    </w:p>
    <w:p>
      <w:pPr>
        <w:pStyle w:val="3"/>
        <w:rPr>
          <w:rFonts w:hint="eastAsia" w:ascii="黑体" w:hAnsi="黑体" w:eastAsia="黑体"/>
          <w:sz w:val="44"/>
          <w:szCs w:val="44"/>
        </w:rPr>
      </w:pPr>
    </w:p>
    <w:p>
      <w:pPr>
        <w:rPr>
          <w:rFonts w:hint="eastAsia" w:ascii="黑体" w:hAnsi="黑体" w:eastAsia="黑体"/>
          <w:sz w:val="44"/>
          <w:szCs w:val="44"/>
        </w:rPr>
      </w:pPr>
    </w:p>
    <w:p>
      <w:pPr>
        <w:pStyle w:val="3"/>
        <w:rPr>
          <w:rFonts w:hint="eastAsia" w:ascii="黑体" w:hAnsi="黑体" w:eastAsia="黑体"/>
          <w:sz w:val="44"/>
          <w:szCs w:val="44"/>
        </w:rPr>
      </w:pPr>
    </w:p>
    <w:p>
      <w:pPr>
        <w:pStyle w:val="3"/>
        <w:rPr>
          <w:rFonts w:hint="eastAsia"/>
        </w:rPr>
      </w:pPr>
    </w:p>
    <w:p>
      <w:pPr>
        <w:spacing w:line="600" w:lineRule="exact"/>
        <w:ind w:firstLine="2200" w:firstLineChars="500"/>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bookmarkEnd w:id="39"/>
    <w:bookmarkEnd w:id="41"/>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52"/>
          <w:rFonts w:hint="eastAsia" w:ascii="黑体" w:hAnsi="黑体" w:eastAsia="黑体"/>
          <w:b w:val="0"/>
          <w:color w:val="auto"/>
          <w:highlight w:val="none"/>
        </w:rPr>
        <w:t>五部分 附表</w:t>
      </w:r>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53"/>
          <w:rFonts w:hint="eastAsia" w:ascii="仿宋" w:hAnsi="仿宋" w:eastAsia="仿宋"/>
          <w:b w:val="0"/>
          <w:bCs w:val="0"/>
          <w:color w:val="auto"/>
          <w:highlight w:val="none"/>
        </w:rPr>
        <w:t>入支出决算总表</w:t>
      </w:r>
    </w:p>
    <w:p>
      <w:pPr>
        <w:pStyle w:val="4"/>
        <w:rPr>
          <w:rFonts w:ascii="仿宋" w:hAnsi="仿宋" w:eastAsia="仿宋"/>
          <w:color w:val="auto"/>
          <w:highlight w:val="none"/>
        </w:rPr>
      </w:pPr>
      <w:r>
        <w:rPr>
          <w:rFonts w:hint="eastAsia" w:ascii="仿宋" w:hAnsi="仿宋" w:eastAsia="仿宋"/>
          <w:b w:val="0"/>
          <w:color w:val="auto"/>
          <w:highlight w:val="none"/>
        </w:rPr>
        <w:t>二、收</w:t>
      </w:r>
      <w:r>
        <w:rPr>
          <w:rStyle w:val="53"/>
          <w:rFonts w:hint="eastAsia" w:ascii="仿宋" w:hAnsi="仿宋" w:eastAsia="仿宋"/>
          <w:b w:val="0"/>
          <w:bCs w:val="0"/>
          <w:color w:val="auto"/>
          <w:highlight w:val="none"/>
        </w:rPr>
        <w:t>入决算表</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53"/>
          <w:rFonts w:hint="eastAsia" w:ascii="仿宋" w:hAnsi="仿宋" w:eastAsia="仿宋"/>
          <w:b w:val="0"/>
          <w:bCs w:val="0"/>
          <w:color w:val="auto"/>
          <w:highlight w:val="none"/>
        </w:rPr>
        <w:t>出决算表</w:t>
      </w:r>
    </w:p>
    <w:p>
      <w:pPr>
        <w:pStyle w:val="4"/>
        <w:rPr>
          <w:rFonts w:ascii="仿宋" w:hAnsi="仿宋" w:eastAsia="仿宋"/>
          <w:b w:val="0"/>
          <w:color w:val="auto"/>
          <w:highlight w:val="none"/>
        </w:rPr>
      </w:pPr>
      <w:r>
        <w:rPr>
          <w:rStyle w:val="53"/>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53"/>
          <w:rFonts w:hint="eastAsia" w:ascii="仿宋" w:hAnsi="仿宋" w:eastAsia="仿宋"/>
          <w:b w:val="0"/>
          <w:bCs w:val="0"/>
          <w:color w:val="auto"/>
          <w:highlight w:val="none"/>
        </w:rPr>
        <w:t>政拨款收入支出决算总表</w:t>
      </w:r>
    </w:p>
    <w:p>
      <w:pPr>
        <w:pStyle w:val="4"/>
        <w:rPr>
          <w:rStyle w:val="53"/>
          <w:rFonts w:ascii="仿宋" w:hAnsi="仿宋" w:eastAsia="仿宋"/>
          <w:b w:val="0"/>
          <w:bCs w:val="0"/>
          <w:color w:val="auto"/>
          <w:highlight w:val="none"/>
        </w:rPr>
      </w:pPr>
      <w:r>
        <w:rPr>
          <w:rStyle w:val="53"/>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53"/>
          <w:rFonts w:hint="eastAsia" w:ascii="仿宋" w:hAnsi="仿宋" w:eastAsia="仿宋"/>
          <w:b w:val="0"/>
          <w:bCs w:val="0"/>
          <w:color w:val="auto"/>
          <w:highlight w:val="none"/>
        </w:rPr>
        <w:t>政拨款支出决算明细表</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53"/>
          <w:rFonts w:hint="eastAsia" w:ascii="仿宋" w:hAnsi="仿宋" w:eastAsia="仿宋"/>
          <w:b w:val="0"/>
          <w:bCs w:val="0"/>
          <w:color w:val="auto"/>
          <w:highlight w:val="none"/>
        </w:rPr>
        <w:t>般公共预算财政拨款支出决算表</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53"/>
          <w:rFonts w:hint="eastAsia" w:ascii="仿宋" w:hAnsi="仿宋" w:eastAsia="仿宋"/>
          <w:b w:val="0"/>
          <w:bCs w:val="0"/>
          <w:color w:val="auto"/>
          <w:highlight w:val="none"/>
        </w:rPr>
        <w:t>般公共预算财政拨款支出决算明细表</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53"/>
          <w:rFonts w:hint="eastAsia" w:ascii="仿宋" w:hAnsi="仿宋" w:eastAsia="仿宋"/>
          <w:b w:val="0"/>
          <w:bCs w:val="0"/>
          <w:color w:val="auto"/>
          <w:highlight w:val="none"/>
        </w:rPr>
        <w:t>般公共预算财政拨款基本支出决算表</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53"/>
          <w:rFonts w:hint="eastAsia" w:ascii="仿宋" w:hAnsi="仿宋" w:eastAsia="仿宋"/>
          <w:b w:val="0"/>
          <w:bCs w:val="0"/>
          <w:color w:val="auto"/>
          <w:highlight w:val="none"/>
        </w:rPr>
        <w:t>般公共预算财政拨款项目支出决算表</w:t>
      </w:r>
    </w:p>
    <w:p>
      <w:pPr>
        <w:pStyle w:val="4"/>
        <w:rPr>
          <w:rFonts w:hint="eastAsia" w:ascii="仿宋" w:hAnsi="仿宋" w:eastAsia="仿宋"/>
          <w:color w:val="auto"/>
          <w:highlight w:val="none"/>
          <w:lang w:eastAsia="zh-CN"/>
        </w:rPr>
      </w:pPr>
      <w:r>
        <w:rPr>
          <w:rStyle w:val="53"/>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53"/>
          <w:rFonts w:hint="eastAsia" w:ascii="仿宋" w:hAnsi="仿宋" w:eastAsia="仿宋"/>
          <w:b w:val="0"/>
          <w:bCs w:val="0"/>
          <w:color w:val="auto"/>
          <w:highlight w:val="none"/>
        </w:rPr>
        <w:t>府性基金预算财政拨款收入支出决算表</w:t>
      </w:r>
      <w:r>
        <w:rPr>
          <w:rStyle w:val="53"/>
          <w:rFonts w:hint="eastAsia" w:ascii="仿宋" w:hAnsi="仿宋" w:eastAsia="仿宋"/>
          <w:b w:val="0"/>
          <w:bCs w:val="0"/>
          <w:color w:val="auto"/>
          <w:highlight w:val="none"/>
          <w:lang w:eastAsia="zh-CN"/>
        </w:rPr>
        <w:t>（</w:t>
      </w:r>
      <w:r>
        <w:rPr>
          <w:rStyle w:val="53"/>
          <w:rFonts w:hint="eastAsia" w:ascii="仿宋" w:hAnsi="仿宋" w:eastAsia="仿宋"/>
          <w:b w:val="0"/>
          <w:bCs w:val="0"/>
          <w:color w:val="auto"/>
          <w:highlight w:val="none"/>
          <w:lang w:val="en-US" w:eastAsia="zh-CN"/>
        </w:rPr>
        <w:t>此表无数据</w:t>
      </w:r>
      <w:r>
        <w:rPr>
          <w:rStyle w:val="53"/>
          <w:rFonts w:hint="eastAsia" w:ascii="仿宋" w:hAnsi="仿宋" w:eastAsia="仿宋"/>
          <w:b w:val="0"/>
          <w:bCs w:val="0"/>
          <w:color w:val="auto"/>
          <w:highlight w:val="none"/>
          <w:lang w:eastAsia="zh-CN"/>
        </w:rPr>
        <w:t>）</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53"/>
          <w:rFonts w:hint="eastAsia" w:ascii="仿宋" w:hAnsi="仿宋" w:eastAsia="仿宋"/>
          <w:b w:val="0"/>
          <w:bCs w:val="0"/>
          <w:color w:val="auto"/>
          <w:highlight w:val="none"/>
        </w:rPr>
        <w:t>有资本经营预算</w:t>
      </w:r>
      <w:r>
        <w:rPr>
          <w:rStyle w:val="53"/>
          <w:rFonts w:hint="eastAsia" w:ascii="仿宋" w:hAnsi="仿宋" w:eastAsia="仿宋"/>
          <w:b w:val="0"/>
          <w:bCs w:val="0"/>
          <w:color w:val="auto"/>
          <w:highlight w:val="none"/>
          <w:lang w:eastAsia="zh-CN"/>
        </w:rPr>
        <w:t>财政拨款收入</w:t>
      </w:r>
      <w:r>
        <w:rPr>
          <w:rStyle w:val="53"/>
          <w:rFonts w:hint="eastAsia" w:ascii="仿宋" w:hAnsi="仿宋" w:eastAsia="仿宋"/>
          <w:b w:val="0"/>
          <w:bCs w:val="0"/>
          <w:color w:val="auto"/>
          <w:highlight w:val="none"/>
        </w:rPr>
        <w:t>支出决算表</w:t>
      </w:r>
      <w:r>
        <w:rPr>
          <w:rStyle w:val="53"/>
          <w:rFonts w:hint="eastAsia" w:ascii="仿宋" w:hAnsi="仿宋" w:eastAsia="仿宋"/>
          <w:b w:val="0"/>
          <w:bCs w:val="0"/>
          <w:color w:val="auto"/>
          <w:highlight w:val="none"/>
          <w:lang w:eastAsia="zh-CN"/>
        </w:rPr>
        <w:t>（</w:t>
      </w:r>
      <w:r>
        <w:rPr>
          <w:rStyle w:val="53"/>
          <w:rFonts w:hint="eastAsia" w:ascii="仿宋" w:hAnsi="仿宋" w:eastAsia="仿宋"/>
          <w:b w:val="0"/>
          <w:bCs w:val="0"/>
          <w:color w:val="auto"/>
          <w:highlight w:val="none"/>
          <w:lang w:val="en-US" w:eastAsia="zh-CN"/>
        </w:rPr>
        <w:t>此表无数据</w:t>
      </w:r>
      <w:r>
        <w:rPr>
          <w:rStyle w:val="53"/>
          <w:rFonts w:hint="eastAsia" w:ascii="仿宋" w:hAnsi="仿宋" w:eastAsia="仿宋"/>
          <w:b w:val="0"/>
          <w:bCs w:val="0"/>
          <w:color w:val="auto"/>
          <w:highlight w:val="none"/>
          <w:lang w:eastAsia="zh-CN"/>
        </w:rPr>
        <w:t>）</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十二、</w:t>
      </w:r>
      <w:r>
        <w:rPr>
          <w:rStyle w:val="53"/>
          <w:rFonts w:hint="eastAsia" w:ascii="仿宋" w:hAnsi="仿宋" w:eastAsia="仿宋"/>
          <w:b w:val="0"/>
          <w:bCs w:val="0"/>
          <w:color w:val="auto"/>
          <w:highlight w:val="none"/>
          <w:lang w:eastAsia="zh-CN"/>
        </w:rPr>
        <w:t>国有资本经营预算财政拨款支出决算表（</w:t>
      </w:r>
      <w:r>
        <w:rPr>
          <w:rStyle w:val="53"/>
          <w:rFonts w:hint="eastAsia" w:ascii="仿宋" w:hAnsi="仿宋" w:eastAsia="仿宋"/>
          <w:b w:val="0"/>
          <w:bCs w:val="0"/>
          <w:color w:val="auto"/>
          <w:highlight w:val="none"/>
          <w:lang w:val="en-US" w:eastAsia="zh-CN"/>
        </w:rPr>
        <w:t>此表无数据</w:t>
      </w:r>
      <w:r>
        <w:rPr>
          <w:rStyle w:val="53"/>
          <w:rFonts w:hint="eastAsia" w:ascii="仿宋" w:hAnsi="仿宋" w:eastAsia="仿宋"/>
          <w:b w:val="0"/>
          <w:bCs w:val="0"/>
          <w:color w:val="auto"/>
          <w:highlight w:val="none"/>
          <w:lang w:eastAsia="zh-CN"/>
        </w:rPr>
        <w:t>）</w:t>
      </w:r>
    </w:p>
    <w:p>
      <w:pPr>
        <w:pStyle w:val="4"/>
        <w:rPr>
          <w:rFonts w:hint="eastAsia" w:ascii="Times New Roman" w:hAnsi="Times New Roman" w:eastAsia="方正仿宋_GBK" w:cs="Times New Roman"/>
          <w:b w:val="0"/>
          <w:bCs w:val="0"/>
          <w:kern w:val="2"/>
          <w:sz w:val="33"/>
          <w:szCs w:val="33"/>
          <w:lang w:val="en-US" w:eastAsia="zh-CN" w:bidi="ar-SA"/>
        </w:rPr>
      </w:pPr>
      <w:r>
        <w:rPr>
          <w:rStyle w:val="53"/>
          <w:rFonts w:hint="eastAsia" w:ascii="仿宋" w:hAnsi="仿宋" w:eastAsia="仿宋"/>
          <w:b w:val="0"/>
          <w:bCs w:val="0"/>
          <w:color w:val="auto"/>
          <w:highlight w:val="none"/>
        </w:rPr>
        <w:t>十三、</w:t>
      </w:r>
      <w:r>
        <w:rPr>
          <w:rStyle w:val="53"/>
          <w:rFonts w:hint="eastAsia" w:ascii="仿宋" w:hAnsi="仿宋" w:eastAsia="仿宋"/>
          <w:b w:val="0"/>
          <w:bCs w:val="0"/>
          <w:color w:val="auto"/>
          <w:highlight w:val="none"/>
          <w:lang w:eastAsia="zh-CN"/>
        </w:rPr>
        <w:t>财政拨款“三公”经费支出决算表（</w:t>
      </w:r>
      <w:r>
        <w:rPr>
          <w:rStyle w:val="53"/>
          <w:rFonts w:hint="eastAsia" w:ascii="仿宋" w:hAnsi="仿宋" w:eastAsia="仿宋"/>
          <w:b w:val="0"/>
          <w:bCs w:val="0"/>
          <w:color w:val="auto"/>
          <w:highlight w:val="none"/>
          <w:lang w:val="en-US" w:eastAsia="zh-CN"/>
        </w:rPr>
        <w:t>此表无数据</w:t>
      </w:r>
      <w:r>
        <w:rPr>
          <w:rStyle w:val="53"/>
          <w:rFonts w:hint="eastAsia" w:ascii="仿宋" w:hAnsi="仿宋" w:eastAsia="仿宋"/>
          <w:b w:val="0"/>
          <w:bCs w:val="0"/>
          <w:color w:val="auto"/>
          <w:highlight w:val="none"/>
          <w:lang w:eastAsia="zh-CN"/>
        </w:rPr>
        <w:t>）</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338C4"/>
    <w:multiLevelType w:val="singleLevel"/>
    <w:tmpl w:val="9F7338C4"/>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4D37BF41"/>
    <w:multiLevelType w:val="singleLevel"/>
    <w:tmpl w:val="4D37BF41"/>
    <w:lvl w:ilvl="0" w:tentative="0">
      <w:start w:val="1"/>
      <w:numFmt w:val="decimal"/>
      <w:lvlText w:val="%1."/>
      <w:lvlJc w:val="left"/>
      <w:pPr>
        <w:tabs>
          <w:tab w:val="left" w:pos="312"/>
        </w:tabs>
      </w:pPr>
    </w:lvl>
  </w:abstractNum>
  <w:abstractNum w:abstractNumId="5">
    <w:nsid w:val="4EF66FAC"/>
    <w:multiLevelType w:val="singleLevel"/>
    <w:tmpl w:val="4EF66FAC"/>
    <w:lvl w:ilvl="0" w:tentative="0">
      <w:start w:val="1"/>
      <w:numFmt w:val="chineseCounting"/>
      <w:suff w:val="nothing"/>
      <w:lvlText w:val="（%1）"/>
      <w:lvlJc w:val="left"/>
      <w:rPr>
        <w:rFonts w:hint="eastAsia"/>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Tk0ZjdiZTBjNDUxNmQzOGEzY2ExZjNjYzUwY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3023E"/>
    <w:rsid w:val="015975B8"/>
    <w:rsid w:val="02143E91"/>
    <w:rsid w:val="04A328D8"/>
    <w:rsid w:val="066E0107"/>
    <w:rsid w:val="0749199E"/>
    <w:rsid w:val="07996F6E"/>
    <w:rsid w:val="09BD06BF"/>
    <w:rsid w:val="0A2032A3"/>
    <w:rsid w:val="0F98263C"/>
    <w:rsid w:val="101860EC"/>
    <w:rsid w:val="10C055FF"/>
    <w:rsid w:val="118107EC"/>
    <w:rsid w:val="13D50BC4"/>
    <w:rsid w:val="16BB723D"/>
    <w:rsid w:val="175C281F"/>
    <w:rsid w:val="18DC4807"/>
    <w:rsid w:val="1BE8440E"/>
    <w:rsid w:val="1D155CEE"/>
    <w:rsid w:val="1FEA15B7"/>
    <w:rsid w:val="1FF35744"/>
    <w:rsid w:val="231D6147"/>
    <w:rsid w:val="23860B96"/>
    <w:rsid w:val="240371BF"/>
    <w:rsid w:val="27B24AD6"/>
    <w:rsid w:val="29FD04D3"/>
    <w:rsid w:val="2A047719"/>
    <w:rsid w:val="2A645571"/>
    <w:rsid w:val="2B0B4AD7"/>
    <w:rsid w:val="2BD254B4"/>
    <w:rsid w:val="2C8A61B5"/>
    <w:rsid w:val="2DF04E50"/>
    <w:rsid w:val="2F040D46"/>
    <w:rsid w:val="30B612DD"/>
    <w:rsid w:val="319F7F4E"/>
    <w:rsid w:val="32541BDA"/>
    <w:rsid w:val="32652013"/>
    <w:rsid w:val="3304709D"/>
    <w:rsid w:val="36AA5135"/>
    <w:rsid w:val="376D39B2"/>
    <w:rsid w:val="37E16F03"/>
    <w:rsid w:val="382F44FB"/>
    <w:rsid w:val="388B0312"/>
    <w:rsid w:val="38D469F0"/>
    <w:rsid w:val="3AA067EF"/>
    <w:rsid w:val="3D98207C"/>
    <w:rsid w:val="3E78745D"/>
    <w:rsid w:val="44E268DA"/>
    <w:rsid w:val="4A627F82"/>
    <w:rsid w:val="4B0E749A"/>
    <w:rsid w:val="4B4F25DA"/>
    <w:rsid w:val="4BE068DB"/>
    <w:rsid w:val="4D577224"/>
    <w:rsid w:val="4EAB630A"/>
    <w:rsid w:val="4ECE2238"/>
    <w:rsid w:val="537E6D0A"/>
    <w:rsid w:val="55E805D6"/>
    <w:rsid w:val="5A0C489F"/>
    <w:rsid w:val="5AF92295"/>
    <w:rsid w:val="5CD71FC4"/>
    <w:rsid w:val="5D8A0FD0"/>
    <w:rsid w:val="5E005E6E"/>
    <w:rsid w:val="5EE22CB9"/>
    <w:rsid w:val="602367F0"/>
    <w:rsid w:val="63AE3C76"/>
    <w:rsid w:val="64161EEE"/>
    <w:rsid w:val="661029C7"/>
    <w:rsid w:val="6C4A05C8"/>
    <w:rsid w:val="6E7E3605"/>
    <w:rsid w:val="6FF5CC65"/>
    <w:rsid w:val="70615CDC"/>
    <w:rsid w:val="715C0E4B"/>
    <w:rsid w:val="72734D90"/>
    <w:rsid w:val="72DB17B3"/>
    <w:rsid w:val="73AD73D5"/>
    <w:rsid w:val="73B6EB34"/>
    <w:rsid w:val="744731E5"/>
    <w:rsid w:val="76E3355F"/>
    <w:rsid w:val="778769C8"/>
    <w:rsid w:val="79EE5BA4"/>
    <w:rsid w:val="7A894339"/>
    <w:rsid w:val="7EBB9EE2"/>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unhideWhenUsed/>
    <w:qFormat/>
    <w:uiPriority w:val="99"/>
    <w:rPr>
      <w:rFonts w:ascii="Times New Roman" w:hAnsi="Times New Roman"/>
      <w:sz w:val="24"/>
    </w:rPr>
  </w:style>
  <w:style w:type="character" w:styleId="19">
    <w:name w:val="Strong"/>
    <w:basedOn w:val="18"/>
    <w:qFormat/>
    <w:uiPriority w:val="99"/>
    <w:rPr>
      <w:b/>
    </w:rPr>
  </w:style>
  <w:style w:type="character" w:styleId="20">
    <w:name w:val="FollowedHyperlink"/>
    <w:basedOn w:val="18"/>
    <w:semiHidden/>
    <w:unhideWhenUsed/>
    <w:qFormat/>
    <w:uiPriority w:val="99"/>
    <w:rPr>
      <w:color w:val="954F72"/>
      <w:u w:val="single"/>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字符"/>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字符"/>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字符"/>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8"/>
    <w:link w:val="3"/>
    <w:qFormat/>
    <w:uiPriority w:val="9"/>
    <w:rPr>
      <w:rFonts w:ascii="Times New Roman" w:hAnsi="Times New Roman"/>
      <w:b/>
      <w:bCs/>
      <w:kern w:val="44"/>
      <w:sz w:val="44"/>
      <w:szCs w:val="44"/>
    </w:rPr>
  </w:style>
  <w:style w:type="character" w:customStyle="1" w:styleId="31">
    <w:name w:val="标题 2 字符"/>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8"/>
    <w:link w:val="10"/>
    <w:semiHidden/>
    <w:qFormat/>
    <w:uiPriority w:val="99"/>
    <w:rPr>
      <w:rFonts w:ascii="Times New Roman" w:hAnsi="Times New Roman"/>
      <w:kern w:val="2"/>
      <w:sz w:val="18"/>
      <w:szCs w:val="18"/>
    </w:rPr>
  </w:style>
  <w:style w:type="character" w:customStyle="1" w:styleId="34">
    <w:name w:val="标题 3 字符"/>
    <w:basedOn w:val="18"/>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标题 1 Char"/>
    <w:basedOn w:val="18"/>
    <w:link w:val="3"/>
    <w:qFormat/>
    <w:uiPriority w:val="9"/>
    <w:rPr>
      <w:b/>
      <w:bCs/>
      <w:kern w:val="44"/>
      <w:sz w:val="44"/>
      <w:szCs w:val="44"/>
    </w:rPr>
  </w:style>
  <w:style w:type="character" w:customStyle="1" w:styleId="53">
    <w:name w:val="标题 2 Char"/>
    <w:basedOn w:val="18"/>
    <w:link w:val="4"/>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收、支决算总计变动情况</a:t>
            </a:r>
            <a:endParaRPr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2022年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总收入</c:v>
                </c:pt>
                <c:pt idx="1">
                  <c:v>总支出</c:v>
                </c:pt>
              </c:strCache>
            </c:strRef>
          </c:cat>
          <c:val>
            <c:numRef>
              <c:f>Sheet1!$B$2:$B$3</c:f>
              <c:numCache>
                <c:formatCode>General</c:formatCode>
                <c:ptCount val="2"/>
                <c:pt idx="0">
                  <c:v>313.54</c:v>
                </c:pt>
                <c:pt idx="1">
                  <c:v>313.54</c:v>
                </c:pt>
              </c:numCache>
            </c:numRef>
          </c:val>
        </c:ser>
        <c:ser>
          <c:idx val="1"/>
          <c:order val="1"/>
          <c:tx>
            <c:strRef>
              <c:f>Sheet1!$C$1</c:f>
              <c:strCache>
                <c:ptCount val="1"/>
                <c:pt idx="0">
                  <c:v>2023年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总收入</c:v>
                </c:pt>
                <c:pt idx="1">
                  <c:v>总支出</c:v>
                </c:pt>
              </c:strCache>
            </c:strRef>
          </c:cat>
          <c:val>
            <c:numRef>
              <c:f>Sheet1!$C$2:$C$3</c:f>
              <c:numCache>
                <c:formatCode>General</c:formatCode>
                <c:ptCount val="2"/>
                <c:pt idx="0">
                  <c:v>1177.7</c:v>
                </c:pt>
                <c:pt idx="1">
                  <c:v>1177.7</c:v>
                </c:pt>
              </c:numCache>
            </c:numRef>
          </c:val>
        </c:ser>
        <c:dLbls>
          <c:showLegendKey val="false"/>
          <c:showVal val="true"/>
          <c:showCatName val="false"/>
          <c:showSerName val="false"/>
          <c:showPercent val="false"/>
          <c:showBubbleSize val="false"/>
        </c:dLbls>
        <c:gapWidth val="219"/>
        <c:overlap val="-27"/>
        <c:axId val="758069340"/>
        <c:axId val="386128868"/>
      </c:barChart>
      <c:catAx>
        <c:axId val="75806934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6128868"/>
        <c:crosses val="autoZero"/>
        <c:auto val="true"/>
        <c:lblAlgn val="ctr"/>
        <c:lblOffset val="100"/>
        <c:noMultiLvlLbl val="false"/>
      </c:catAx>
      <c:valAx>
        <c:axId val="38612886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806934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false"/>
      <c:spPr>
        <a:noFill/>
        <a:ln>
          <a:noFill/>
        </a:ln>
        <a:effectLst/>
      </c:spPr>
    </c:title>
    <c:autoTitleDeleted val="false"/>
    <c:plotArea>
      <c:layout/>
      <c:pieChart>
        <c:varyColors val="true"/>
        <c:ser>
          <c:idx val="0"/>
          <c:order val="0"/>
          <c:tx>
            <c:strRef>
              <c:f>Sheet1!$A$2</c:f>
              <c:strCache>
                <c:ptCount val="1"/>
                <c:pt idx="0">
                  <c:v>本年收入</c:v>
                </c:pt>
              </c:strCache>
            </c:strRef>
          </c:tx>
          <c:spPr/>
          <c:explosion val="0"/>
          <c:dPt>
            <c:idx val="0"/>
            <c:bubble3D val="false"/>
            <c:spPr>
              <a:solidFill>
                <a:schemeClr val="accent1"/>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f>
              <c:strCache>
                <c:ptCount val="1"/>
                <c:pt idx="0">
                  <c:v>一般公共预算财政拨款收入</c:v>
                </c:pt>
              </c:strCache>
            </c:strRef>
          </c:cat>
          <c:val>
            <c:numRef>
              <c:f>Sheet1!$B$2</c:f>
              <c:numCache>
                <c:formatCode>General</c:formatCode>
                <c:ptCount val="1"/>
                <c:pt idx="0">
                  <c:v>273.86</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manualLayout>
          <c:xMode val="edge"/>
          <c:yMode val="edge"/>
          <c:x val="0.045164417486242"/>
          <c:y val="0.798974977410861"/>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tx>
            <c:strRef>
              <c:f>Sheet1!$B$1</c:f>
              <c:strCache>
                <c:ptCount val="1"/>
                <c:pt idx="0">
                  <c:v>本年支出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294.45</c:v>
                </c:pt>
                <c:pt idx="1">
                  <c:v>883.25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false"/>
      <c:spPr>
        <a:noFill/>
        <a:ln>
          <a:noFill/>
        </a:ln>
        <a:effectLst/>
      </c:spPr>
    </c:title>
    <c:autoTitleDeleted val="false"/>
    <c:plotArea>
      <c:layout>
        <c:manualLayout>
          <c:layoutTarget val="inner"/>
          <c:xMode val="edge"/>
          <c:yMode val="edge"/>
          <c:x val="0.0722951680672269"/>
          <c:y val="0.147463625639009"/>
          <c:w val="0.900393907563025"/>
          <c:h val="0.666024380652772"/>
        </c:manualLayout>
      </c:layout>
      <c:barChart>
        <c:barDir val="col"/>
        <c:grouping val="clustered"/>
        <c:varyColors val="false"/>
        <c:ser>
          <c:idx val="0"/>
          <c:order val="0"/>
          <c:tx>
            <c:strRef>
              <c:f>Sheet1!$B$1</c:f>
              <c:strCache>
                <c:ptCount val="1"/>
                <c:pt idx="0">
                  <c:v>2022年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财政拨款总收入</c:v>
                </c:pt>
                <c:pt idx="1">
                  <c:v>财政拨款总支出</c:v>
                </c:pt>
              </c:strCache>
            </c:strRef>
          </c:cat>
          <c:val>
            <c:numRef>
              <c:f>Sheet1!$B$2:$B$3</c:f>
              <c:numCache>
                <c:formatCode>General</c:formatCode>
                <c:ptCount val="2"/>
                <c:pt idx="0">
                  <c:v>313.54</c:v>
                </c:pt>
                <c:pt idx="1">
                  <c:v>313.54</c:v>
                </c:pt>
              </c:numCache>
            </c:numRef>
          </c:val>
        </c:ser>
        <c:ser>
          <c:idx val="1"/>
          <c:order val="1"/>
          <c:tx>
            <c:strRef>
              <c:f>Sheet1!$C$1</c:f>
              <c:strCache>
                <c:ptCount val="1"/>
                <c:pt idx="0">
                  <c:v>2023年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财政拨款总收入</c:v>
                </c:pt>
                <c:pt idx="1">
                  <c:v>财政拨款总支出</c:v>
                </c:pt>
              </c:strCache>
            </c:strRef>
          </c:cat>
          <c:val>
            <c:numRef>
              <c:f>Sheet1!$C$2:$C$3</c:f>
              <c:numCache>
                <c:formatCode>General</c:formatCode>
                <c:ptCount val="2"/>
                <c:pt idx="0">
                  <c:v>1177.7</c:v>
                </c:pt>
                <c:pt idx="1">
                  <c:v>1177.7</c:v>
                </c:pt>
              </c:numCache>
            </c:numRef>
          </c:val>
        </c:ser>
        <c:dLbls>
          <c:showLegendKey val="false"/>
          <c:showVal val="true"/>
          <c:showCatName val="false"/>
          <c:showSerName val="false"/>
          <c:showPercent val="false"/>
          <c:showBubbleSize val="false"/>
        </c:dLbls>
        <c:gapWidth val="219"/>
        <c:overlap val="-27"/>
        <c:axId val="758069340"/>
        <c:axId val="386128868"/>
      </c:barChart>
      <c:catAx>
        <c:axId val="75806934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6128868"/>
        <c:crosses val="autoZero"/>
        <c:auto val="true"/>
        <c:lblAlgn val="ctr"/>
        <c:lblOffset val="100"/>
        <c:noMultiLvlLbl val="false"/>
      </c:catAx>
      <c:valAx>
        <c:axId val="38612886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806934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2022年</c:v>
                </c:pt>
              </c:strCache>
            </c:strRef>
          </c:tx>
          <c:spPr>
            <a:solidFill>
              <a:schemeClr val="accent1"/>
            </a:solidFill>
            <a:ln>
              <a:noFill/>
            </a:ln>
            <a:effectLst/>
          </c:spPr>
          <c:invertIfNegative val="false"/>
          <c:dLbls>
            <c:delete val="true"/>
          </c:dLbls>
          <c:cat>
            <c:strRef>
              <c:f>Sheet1!$A$2</c:f>
              <c:strCache>
                <c:ptCount val="1"/>
                <c:pt idx="0">
                  <c:v>一般公共预算财政拨款支出</c:v>
                </c:pt>
              </c:strCache>
            </c:strRef>
          </c:cat>
          <c:val>
            <c:numRef>
              <c:f>Sheet1!$B$2</c:f>
              <c:numCache>
                <c:formatCode>General</c:formatCode>
                <c:ptCount val="1"/>
                <c:pt idx="0">
                  <c:v>313.54</c:v>
                </c:pt>
              </c:numCache>
            </c:numRef>
          </c:val>
        </c:ser>
        <c:ser>
          <c:idx val="1"/>
          <c:order val="1"/>
          <c:tx>
            <c:strRef>
              <c:f>Sheet1!$C$1</c:f>
              <c:strCache>
                <c:ptCount val="1"/>
                <c:pt idx="0">
                  <c:v>2023年</c:v>
                </c:pt>
              </c:strCache>
            </c:strRef>
          </c:tx>
          <c:spPr>
            <a:solidFill>
              <a:schemeClr val="accent2"/>
            </a:solidFill>
            <a:ln>
              <a:noFill/>
            </a:ln>
            <a:effectLst/>
          </c:spPr>
          <c:invertIfNegative val="false"/>
          <c:dLbls>
            <c:delete val="true"/>
          </c:dLbls>
          <c:cat>
            <c:strRef>
              <c:f>Sheet1!$A$2</c:f>
              <c:strCache>
                <c:ptCount val="1"/>
                <c:pt idx="0">
                  <c:v>一般公共预算财政拨款支出</c:v>
                </c:pt>
              </c:strCache>
            </c:strRef>
          </c:cat>
          <c:val>
            <c:numRef>
              <c:f>Sheet1!$C$2</c:f>
              <c:numCache>
                <c:formatCode>General</c:formatCode>
                <c:ptCount val="1"/>
                <c:pt idx="0">
                  <c:v>1177.7</c:v>
                </c:pt>
              </c:numCache>
            </c:numRef>
          </c:val>
        </c:ser>
        <c:dLbls>
          <c:showLegendKey val="false"/>
          <c:showVal val="false"/>
          <c:showCatName val="false"/>
          <c:showSerName val="false"/>
          <c:showPercent val="false"/>
          <c:showBubbleSize val="false"/>
        </c:dLbls>
        <c:gapWidth val="219"/>
        <c:overlap val="-27"/>
        <c:axId val="817357738"/>
        <c:axId val="87193509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c15:sqref>
                        </c15:formulaRef>
                      </c:ext>
                    </c:extLst>
                    <c:strCache>
                      <c:ptCount val="1"/>
                      <c:pt idx="0">
                        <c:v>一般公共预算财政拨款支出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1735773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1935091"/>
        <c:crosses val="autoZero"/>
        <c:auto val="true"/>
        <c:lblAlgn val="ctr"/>
        <c:lblOffset val="100"/>
        <c:noMultiLvlLbl val="false"/>
      </c:catAx>
      <c:valAx>
        <c:axId val="87193509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1735773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false"/>
      <c:spPr>
        <a:noFill/>
        <a:ln>
          <a:noFill/>
        </a:ln>
        <a:effectLst/>
      </c:spPr>
    </c:title>
    <c:autoTitleDeleted val="false"/>
    <c:plotArea>
      <c:layout/>
      <c:pieChart>
        <c:varyColors val="true"/>
        <c:ser>
          <c:idx val="0"/>
          <c:order val="0"/>
          <c:tx>
            <c:strRef>
              <c:f>Sheet1!$B$1</c:f>
              <c:strCache>
                <c:ptCount val="1"/>
                <c:pt idx="0">
                  <c:v>本年支出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一般公共服务支出</c:v>
                </c:pt>
                <c:pt idx="2">
                  <c:v>卫生健康支出</c:v>
                </c:pt>
                <c:pt idx="3">
                  <c:v>农林水支出</c:v>
                </c:pt>
              </c:strCache>
            </c:strRef>
          </c:cat>
          <c:val>
            <c:numRef>
              <c:f>Sheet1!$B$2:$B$5</c:f>
              <c:numCache>
                <c:formatCode>General</c:formatCode>
                <c:ptCount val="4"/>
                <c:pt idx="0">
                  <c:v>294.45</c:v>
                </c:pt>
                <c:pt idx="1">
                  <c:v>881.35</c:v>
                </c:pt>
                <c:pt idx="2">
                  <c:v>1.06</c:v>
                </c:pt>
                <c:pt idx="3">
                  <c:v>0.84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7410</Words>
  <Characters>8515</Characters>
  <Lines>58</Lines>
  <Paragraphs>16</Paragraphs>
  <TotalTime>2</TotalTime>
  <ScaleCrop>false</ScaleCrop>
  <LinksUpToDate>false</LinksUpToDate>
  <CharactersWithSpaces>8582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2023-09-11T17:02:00Z</cp:lastPrinted>
  <dcterms:modified xsi:type="dcterms:W3CDTF">2024-09-19T16:55:59Z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C19BEA8B7054441AB165583DCA52E423_13</vt:lpwstr>
  </property>
</Properties>
</file>